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5FD8"/>
          <w:sz w:val="44"/>
        </w:rPr>
        <w:t>风控规则配置方案</w:t>
      </w:r>
    </w:p>
    <w:p>
      <w:pPr>
        <w:jc w:val="center"/>
      </w:pPr>
      <w:r>
        <w:rPr>
          <w:rFonts w:ascii="微软雅黑" w:hAnsi="微软雅黑" w:eastAsia="微软雅黑"/>
          <w:color w:val="5C6B7F"/>
          <w:sz w:val="22"/>
        </w:rPr>
        <w:t>FedShield · AI 风控合规智能大脑 ／ 赛题 A16 任务清单（6）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赛题编号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A16（本科组·应用类·人工智能方向）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面向全球支付场景的 AI 驱动风控合规智能大脑框架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命题企业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杭州乒乓智能技术有限公司（PingPong）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作品名称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FedShield · AI 风控合规智能大脑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Vue 3 + Element Plus + Vite ／ Flask + SQLAlchemy ／ 联邦学习 + 同态加密 + 差分隐私 + 联盟链存证</w:t>
            </w:r>
          </w:p>
        </w:tc>
      </w:tr>
    </w:tbl>
    <w:p/>
    <w:p>
      <w:pPr>
        <w:pStyle w:val="Heading1"/>
      </w:pPr>
      <w:r>
        <w:t>一、方案概述</w:t>
      </w:r>
    </w:p>
    <w:p>
      <w:r>
        <w:rPr>
          <w:rFonts w:ascii="微软雅黑" w:hAnsi="微软雅黑" w:eastAsia="微软雅黑"/>
          <w:b w:val="0"/>
        </w:rPr>
        <w:t>平台采用「规则 + 模型 + 实时计算」三位一体的风控体系，规则侧包含三套可配置规则：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合规规则引擎（跨境传输/授权/脱敏合规校验）：可视化画布编排，支持 6 类执行动作；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异常检测规则（交易与账户异常行为识别）：6 条可解释规则 + 组合风险加成；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智能路由规则（支付通道选择）：四目标加权打分 + 合规前置排除。</w:t>
      </w:r>
    </w:p>
    <w:p>
      <w:r>
        <w:rPr>
          <w:rFonts w:ascii="微软雅黑" w:hAnsi="微软雅黑" w:eastAsia="微软雅黑"/>
          <w:b w:val="0"/>
        </w:rPr>
        <w:t>全部规则均以结构化配置存储、支持启停与版本管理，规则命中情况实时写入审计日志并上链存证。</w:t>
      </w:r>
    </w:p>
    <w:p>
      <w:pPr>
        <w:pStyle w:val="Heading1"/>
      </w:pPr>
      <w:r>
        <w:t>二、合规规则引擎配置</w:t>
      </w:r>
    </w:p>
    <w:p>
      <w:pPr>
        <w:pStyle w:val="Heading2"/>
      </w:pPr>
      <w:r>
        <w:t>2.1 规则编排模型</w:t>
      </w:r>
    </w:p>
    <w:p>
      <w:r>
        <w:rPr>
          <w:rFonts w:ascii="微软雅黑" w:hAnsi="微软雅黑" w:eastAsia="微软雅黑"/>
          <w:b w:val="0"/>
        </w:rPr>
        <w:t>规则由「触发条件 → 判断条件 → 执行动作」三类节点与连线构成，可视化拖拽编排、落库为 JSON：</w:t>
      </w:r>
    </w:p>
    <w:p>
      <w:pPr>
        <w:spacing w:before="40"/>
        <w:ind w:left="340"/>
      </w:pPr>
      <w:r>
        <w:rPr>
          <w:rFonts w:ascii="Consolas" w:hAnsi="Consolas" w:eastAsia="Consolas"/>
          <w:sz w:val="18"/>
        </w:rPr>
        <w:t>trigger（触发事件） → condition（判断条件，可多级） → action（执行动作）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1"/>
        <w:gridCol w:w="5122"/>
        <w:gridCol w:w="2348"/>
      </w:tblGrid>
      <w:tr>
        <w:tc>
          <w:tcPr>
            <w:tcW w:type="dxa" w:w="16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节点类型</w:t>
            </w:r>
          </w:p>
        </w:tc>
        <w:tc>
          <w:tcPr>
            <w:tcW w:type="dxa" w:w="512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可选节点</w:t>
            </w:r>
          </w:p>
        </w:tc>
        <w:tc>
          <w:tcPr>
            <w:tcW w:type="dxa" w:w="234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01"/>
          </w:tcPr>
          <w:p>
            <w:r>
              <w:rPr>
                <w:rFonts w:ascii="微软雅黑" w:hAnsi="微软雅黑" w:eastAsia="微软雅黑"/>
                <w:sz w:val="19"/>
              </w:rPr>
              <w:t>触发条件（5）</w:t>
            </w:r>
          </w:p>
        </w:tc>
        <w:tc>
          <w:tcPr>
            <w:tcW w:type="dxa" w:w="5122"/>
          </w:tcPr>
          <w:p>
            <w:r>
              <w:rPr>
                <w:rFonts w:ascii="微软雅黑" w:hAnsi="微软雅黑" w:eastAsia="微软雅黑"/>
                <w:sz w:val="19"/>
              </w:rPr>
              <w:t>数据跨境传输 / 数据访问请求 / 隐私计算任务发起 / 合规报告生成 / 数据授权申请</w:t>
            </w:r>
          </w:p>
        </w:tc>
        <w:tc>
          <w:tcPr>
            <w:tcW w:type="dxa" w:w="2348"/>
          </w:tcPr>
          <w:p>
            <w:r>
              <w:rPr>
                <w:rFonts w:ascii="微软雅黑" w:hAnsi="微软雅黑" w:eastAsia="微软雅黑"/>
                <w:sz w:val="19"/>
              </w:rPr>
              <w:t>决定规则在哪个业务事件上生效</w:t>
            </w:r>
          </w:p>
        </w:tc>
      </w:tr>
      <w:tr>
        <w:tc>
          <w:tcPr>
            <w:tcW w:type="dxa" w:w="1601"/>
          </w:tcPr>
          <w:p>
            <w:r>
              <w:rPr>
                <w:rFonts w:ascii="微软雅黑" w:hAnsi="微软雅黑" w:eastAsia="微软雅黑"/>
                <w:sz w:val="19"/>
              </w:rPr>
              <w:t>判断条件（10）</w:t>
            </w:r>
          </w:p>
        </w:tc>
        <w:tc>
          <w:tcPr>
            <w:tcW w:type="dxa" w:w="5122"/>
          </w:tcPr>
          <w:p>
            <w:r>
              <w:rPr>
                <w:rFonts w:ascii="微软雅黑" w:hAnsi="微软雅黑" w:eastAsia="微软雅黑"/>
                <w:sz w:val="19"/>
              </w:rPr>
              <w:t>数据敏感度 P1 / P1-P2 / 目的地在欧盟美国 / 来源地中国 / 属于跨境传输 / 未签订 SCC / 未完成 DPIA / 未取得授权 / 用途为营销推广 / 数据量超 5000 条</w:t>
            </w:r>
          </w:p>
        </w:tc>
        <w:tc>
          <w:tcPr>
            <w:tcW w:type="dxa" w:w="2348"/>
          </w:tcPr>
          <w:p>
            <w:r>
              <w:rPr>
                <w:rFonts w:ascii="微软雅黑" w:hAnsi="微软雅黑" w:eastAsia="微软雅黑"/>
                <w:sz w:val="19"/>
              </w:rPr>
              <w:t>字段-操作符-值三元组，操作符支持 eq/ne/gt/gte/lt/lte/in/contains/exists/regex</w:t>
            </w:r>
          </w:p>
        </w:tc>
      </w:tr>
      <w:tr>
        <w:tc>
          <w:tcPr>
            <w:tcW w:type="dxa" w:w="1601"/>
          </w:tcPr>
          <w:p>
            <w:r>
              <w:rPr>
                <w:rFonts w:ascii="微软雅黑" w:hAnsi="微软雅黑" w:eastAsia="微软雅黑"/>
                <w:sz w:val="19"/>
              </w:rPr>
              <w:t>执行动作（6）</w:t>
            </w:r>
          </w:p>
        </w:tc>
        <w:tc>
          <w:tcPr>
            <w:tcW w:type="dxa" w:w="5122"/>
          </w:tcPr>
          <w:p>
            <w:r>
              <w:rPr>
                <w:rFonts w:ascii="微软雅黑" w:hAnsi="微软雅黑" w:eastAsia="微软雅黑"/>
                <w:sz w:val="19"/>
              </w:rPr>
              <w:t>阻断并生成整改清单 / 动态脱敏后放行 / 要求补充合规要件 / 通知合规负责人 / 上链存证 / 放行</w:t>
            </w:r>
          </w:p>
        </w:tc>
        <w:tc>
          <w:tcPr>
            <w:tcW w:type="dxa" w:w="2348"/>
          </w:tcPr>
          <w:p>
            <w:r>
              <w:rPr>
                <w:rFonts w:ascii="微软雅黑" w:hAnsi="微软雅黑" w:eastAsia="微软雅黑"/>
                <w:sz w:val="19"/>
              </w:rPr>
              <w:t>命中后执行的动作，可组合</w:t>
            </w:r>
          </w:p>
        </w:tc>
      </w:tr>
    </w:tbl>
    <w:p/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判定语义：判断条件「满足」表示规则命中并执行动作，而非合规通过；命中后若包含阻断动作则结论为 blocked，包含整改类动作（require/mask）则结论为 failed，仅告警/存证类动作则视为通过。该语义可避免「命中阻断规则却判为通过」的严重逻辑错误。</w:t>
      </w:r>
    </w:p>
    <w:p>
      <w:pPr>
        <w:pStyle w:val="Heading2"/>
      </w:pPr>
      <w:r>
        <w:t>2.2 出厂默认规则（3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8"/>
        <w:gridCol w:w="1886"/>
        <w:gridCol w:w="2694"/>
        <w:gridCol w:w="2694"/>
        <w:gridCol w:w="718"/>
      </w:tblGrid>
      <w:tr>
        <w:tc>
          <w:tcPr>
            <w:tcW w:type="dxa" w:w="107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规则编号</w:t>
            </w:r>
          </w:p>
        </w:tc>
        <w:tc>
          <w:tcPr>
            <w:tcW w:type="dxa" w:w="188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规则名称</w:t>
            </w:r>
          </w:p>
        </w:tc>
        <w:tc>
          <w:tcPr>
            <w:tcW w:type="dxa" w:w="269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判断条件</w:t>
            </w:r>
          </w:p>
        </w:tc>
        <w:tc>
          <w:tcPr>
            <w:tcW w:type="dxa" w:w="269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执行动作</w:t>
            </w:r>
          </w:p>
        </w:tc>
        <w:tc>
          <w:tcPr>
            <w:tcW w:type="dxa" w:w="71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078"/>
          </w:tcPr>
          <w:p>
            <w:r>
              <w:rPr>
                <w:rFonts w:ascii="微软雅黑" w:hAnsi="微软雅黑" w:eastAsia="微软雅黑"/>
                <w:sz w:val="19"/>
              </w:rPr>
              <w:t>RULE-0001</w:t>
            </w:r>
          </w:p>
        </w:tc>
        <w:tc>
          <w:tcPr>
            <w:tcW w:type="dxa" w:w="1886"/>
          </w:tcPr>
          <w:p>
            <w:r>
              <w:rPr>
                <w:rFonts w:ascii="微软雅黑" w:hAnsi="微软雅黑" w:eastAsia="微软雅黑"/>
                <w:sz w:val="19"/>
              </w:rPr>
              <w:t>高敏感数据跨境传输限制</w:t>
            </w:r>
          </w:p>
        </w:tc>
        <w:tc>
          <w:tcPr>
            <w:tcW w:type="dxa" w:w="2694"/>
          </w:tcPr>
          <w:p>
            <w:r>
              <w:rPr>
                <w:rFonts w:ascii="微软雅黑" w:hAnsi="微软雅黑" w:eastAsia="微软雅黑"/>
                <w:sz w:val="19"/>
              </w:rPr>
              <w:t>数据敏感度=P1 且 属于跨境传输 且 未取得数据主体授权</w:t>
            </w:r>
          </w:p>
        </w:tc>
        <w:tc>
          <w:tcPr>
            <w:tcW w:type="dxa" w:w="2694"/>
          </w:tcPr>
          <w:p>
            <w:r>
              <w:rPr>
                <w:rFonts w:ascii="微软雅黑" w:hAnsi="微软雅黑" w:eastAsia="微软雅黑"/>
                <w:sz w:val="19"/>
              </w:rPr>
              <w:t>阻断并生成整改清单 + 通知合规负责人 + 上链存证</w:t>
            </w:r>
          </w:p>
        </w:tc>
        <w:tc>
          <w:tcPr>
            <w:tcW w:type="dxa" w:w="718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>
        <w:tc>
          <w:tcPr>
            <w:tcW w:type="dxa" w:w="1078"/>
          </w:tcPr>
          <w:p>
            <w:r>
              <w:rPr>
                <w:rFonts w:ascii="微软雅黑" w:hAnsi="微软雅黑" w:eastAsia="微软雅黑"/>
                <w:sz w:val="19"/>
              </w:rPr>
              <w:t>RULE-0002</w:t>
            </w:r>
          </w:p>
        </w:tc>
        <w:tc>
          <w:tcPr>
            <w:tcW w:type="dxa" w:w="1886"/>
          </w:tcPr>
          <w:p>
            <w:r>
              <w:rPr>
                <w:rFonts w:ascii="微软雅黑" w:hAnsi="微软雅黑" w:eastAsia="微软雅黑"/>
                <w:sz w:val="19"/>
              </w:rPr>
              <w:t>欧盟出境合规要件校验</w:t>
            </w:r>
          </w:p>
        </w:tc>
        <w:tc>
          <w:tcPr>
            <w:tcW w:type="dxa" w:w="2694"/>
          </w:tcPr>
          <w:p>
            <w:r>
              <w:rPr>
                <w:rFonts w:ascii="微软雅黑" w:hAnsi="微软雅黑" w:eastAsia="微软雅黑"/>
                <w:sz w:val="19"/>
              </w:rPr>
              <w:t>目的地在欧盟/美国 且（未签订 SCC 或 未完成 DPIA）</w:t>
            </w:r>
          </w:p>
        </w:tc>
        <w:tc>
          <w:tcPr>
            <w:tcW w:type="dxa" w:w="2694"/>
          </w:tcPr>
          <w:p>
            <w:r>
              <w:rPr>
                <w:rFonts w:ascii="微软雅黑" w:hAnsi="微软雅黑" w:eastAsia="微软雅黑"/>
                <w:sz w:val="19"/>
              </w:rPr>
              <w:t>要求补充合规要件 + 通知合规负责人</w:t>
            </w:r>
          </w:p>
        </w:tc>
        <w:tc>
          <w:tcPr>
            <w:tcW w:type="dxa" w:w="718"/>
          </w:tcPr>
          <w:p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</w:tr>
      <w:tr>
        <w:tc>
          <w:tcPr>
            <w:tcW w:type="dxa" w:w="1078"/>
          </w:tcPr>
          <w:p>
            <w:r>
              <w:rPr>
                <w:rFonts w:ascii="微软雅黑" w:hAnsi="微软雅黑" w:eastAsia="微软雅黑"/>
                <w:sz w:val="19"/>
              </w:rPr>
              <w:t>RULE-0003</w:t>
            </w:r>
          </w:p>
        </w:tc>
        <w:tc>
          <w:tcPr>
            <w:tcW w:type="dxa" w:w="1886"/>
          </w:tcPr>
          <w:p>
            <w:r>
              <w:rPr>
                <w:rFonts w:ascii="微软雅黑" w:hAnsi="微软雅黑" w:eastAsia="微软雅黑"/>
                <w:sz w:val="19"/>
              </w:rPr>
              <w:t>用途匹配与批量传输管控</w:t>
            </w:r>
          </w:p>
        </w:tc>
        <w:tc>
          <w:tcPr>
            <w:tcW w:type="dxa" w:w="2694"/>
          </w:tcPr>
          <w:p>
            <w:r>
              <w:rPr>
                <w:rFonts w:ascii="微软雅黑" w:hAnsi="微软雅黑" w:eastAsia="微软雅黑"/>
                <w:sz w:val="19"/>
              </w:rPr>
              <w:t>用途为营销推广 或 数据量超过 5000 条</w:t>
            </w:r>
          </w:p>
        </w:tc>
        <w:tc>
          <w:tcPr>
            <w:tcW w:type="dxa" w:w="2694"/>
          </w:tcPr>
          <w:p>
            <w:r>
              <w:rPr>
                <w:rFonts w:ascii="微软雅黑" w:hAnsi="微软雅黑" w:eastAsia="微软雅黑"/>
                <w:sz w:val="19"/>
              </w:rPr>
              <w:t>动态脱敏后放行 / 通知合规负责人</w:t>
            </w:r>
          </w:p>
        </w:tc>
        <w:tc>
          <w:tcPr>
            <w:tcW w:type="dxa" w:w="718"/>
          </w:tcPr>
          <w:p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</w:tr>
    </w:tbl>
    <w:p/>
    <w:p>
      <w:pPr>
        <w:pStyle w:val="Heading2"/>
      </w:pPr>
      <w:r>
        <w:t>2.3 校验输出</w:t>
      </w:r>
    </w:p>
    <w:p>
      <w:r>
        <w:rPr>
          <w:rFonts w:ascii="微软雅黑" w:hAnsi="微软雅黑" w:eastAsia="微软雅黑"/>
          <w:b w:val="0"/>
        </w:rPr>
        <w:t>每次校验返回：总体结论（passed）、逐条规则结果（checkedRules）、问题清单（issues）与整改清单（rectificationList，含整改要求与建议动作），未通过数据自动退回。</w:t>
      </w:r>
    </w:p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实测：P1 级数据在未签订 SCC、未完成 DPIA、未取得授权的情况下发起跨境传输，平台判定为阻断（blocked）并生成 3 条整改项；补齐要件后同一请求判定为通过。</w:t>
      </w:r>
    </w:p>
    <w:p>
      <w:pPr>
        <w:pStyle w:val="Heading1"/>
      </w:pPr>
      <w:r>
        <w:t>三、异常检测规则配置</w:t>
      </w:r>
    </w:p>
    <w:p>
      <w:r>
        <w:rPr>
          <w:rFonts w:ascii="微软雅黑" w:hAnsi="微软雅黑" w:eastAsia="微软雅黑"/>
          <w:b w:val="0"/>
        </w:rPr>
        <w:t>面向交易与账户的异常行为识别，6 条规则均给出可解释证据链（evidence）。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2"/>
        <w:gridCol w:w="1772"/>
        <w:gridCol w:w="2607"/>
        <w:gridCol w:w="834"/>
        <w:gridCol w:w="2085"/>
      </w:tblGrid>
      <w:tr>
        <w:tc>
          <w:tcPr>
            <w:tcW w:type="dxa" w:w="177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规则码</w:t>
            </w:r>
          </w:p>
        </w:tc>
        <w:tc>
          <w:tcPr>
            <w:tcW w:type="dxa" w:w="177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规则名称</w:t>
            </w:r>
          </w:p>
        </w:tc>
        <w:tc>
          <w:tcPr>
            <w:tcW w:type="dxa" w:w="260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触发阈值</w:t>
            </w:r>
          </w:p>
        </w:tc>
        <w:tc>
          <w:tcPr>
            <w:tcW w:type="dxa" w:w="83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基础分</w:t>
            </w:r>
          </w:p>
        </w:tc>
        <w:tc>
          <w:tcPr>
            <w:tcW w:type="dxa" w:w="208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研判说明</w:t>
            </w:r>
          </w:p>
        </w:tc>
      </w:tr>
      <w:tr>
        <w:tc>
          <w:tcPr>
            <w:tcW w:type="dxa" w:w="1772"/>
          </w:tcPr>
          <w:p>
            <w:r>
              <w:rPr>
                <w:rFonts w:ascii="微软雅黑" w:hAnsi="微软雅黑" w:eastAsia="微软雅黑"/>
                <w:sz w:val="19"/>
              </w:rPr>
              <w:t>VELOCITY</w:t>
            </w:r>
          </w:p>
        </w:tc>
        <w:tc>
          <w:tcPr>
            <w:tcW w:type="dxa" w:w="1772"/>
          </w:tcPr>
          <w:p>
            <w:r>
              <w:rPr>
                <w:rFonts w:ascii="微软雅黑" w:hAnsi="微软雅黑" w:eastAsia="微软雅黑"/>
                <w:sz w:val="19"/>
              </w:rPr>
              <w:t>短时高频交易</w:t>
            </w:r>
          </w:p>
        </w:tc>
        <w:tc>
          <w:tcPr>
            <w:tcW w:type="dxa" w:w="2607"/>
          </w:tcPr>
          <w:p>
            <w:r>
              <w:rPr>
                <w:rFonts w:ascii="微软雅黑" w:hAnsi="微软雅黑" w:eastAsia="微软雅黑"/>
                <w:sz w:val="19"/>
              </w:rPr>
              <w:t>同一商户同一小时 ≥5 笔</w:t>
            </w:r>
          </w:p>
        </w:tc>
        <w:tc>
          <w:tcPr>
            <w:tcW w:type="dxa" w:w="834"/>
          </w:tcPr>
          <w:p>
            <w:r>
              <w:rPr>
                <w:rFonts w:ascii="微软雅黑" w:hAnsi="微软雅黑" w:eastAsia="微软雅黑"/>
                <w:sz w:val="19"/>
              </w:rPr>
              <w:t>0.42</w:t>
            </w:r>
          </w:p>
        </w:tc>
        <w:tc>
          <w:tcPr>
            <w:tcW w:type="dxa" w:w="2085"/>
          </w:tcPr>
          <w:p>
            <w:r>
              <w:rPr>
                <w:rFonts w:ascii="微软雅黑" w:hAnsi="微软雅黑" w:eastAsia="微软雅黑"/>
                <w:sz w:val="19"/>
              </w:rPr>
              <w:t>疑似拆分交易规避监管</w:t>
            </w:r>
          </w:p>
        </w:tc>
      </w:tr>
      <w:tr>
        <w:tc>
          <w:tcPr>
            <w:tcW w:type="dxa" w:w="1772"/>
          </w:tcPr>
          <w:p>
            <w:r>
              <w:rPr>
                <w:rFonts w:ascii="微软雅黑" w:hAnsi="微软雅黑" w:eastAsia="微软雅黑"/>
                <w:sz w:val="19"/>
              </w:rPr>
              <w:t>AMOUNT_SURGE</w:t>
            </w:r>
          </w:p>
        </w:tc>
        <w:tc>
          <w:tcPr>
            <w:tcW w:type="dxa" w:w="1772"/>
          </w:tcPr>
          <w:p>
            <w:r>
              <w:rPr>
                <w:rFonts w:ascii="微软雅黑" w:hAnsi="微软雅黑" w:eastAsia="微软雅黑"/>
                <w:sz w:val="19"/>
              </w:rPr>
              <w:t>金额突增</w:t>
            </w:r>
          </w:p>
        </w:tc>
        <w:tc>
          <w:tcPr>
            <w:tcW w:type="dxa" w:w="2607"/>
          </w:tcPr>
          <w:p>
            <w:r>
              <w:rPr>
                <w:rFonts w:ascii="微软雅黑" w:hAnsi="微软雅黑" w:eastAsia="微软雅黑"/>
                <w:sz w:val="19"/>
              </w:rPr>
              <w:t>单笔 &gt; 该商户历史均值 ×3 且 &gt; 10 万元</w:t>
            </w:r>
          </w:p>
        </w:tc>
        <w:tc>
          <w:tcPr>
            <w:tcW w:type="dxa" w:w="834"/>
          </w:tcPr>
          <w:p>
            <w:r>
              <w:rPr>
                <w:rFonts w:ascii="微软雅黑" w:hAnsi="微软雅黑" w:eastAsia="微软雅黑"/>
                <w:sz w:val="19"/>
              </w:rPr>
              <w:t>0.38</w:t>
            </w:r>
          </w:p>
        </w:tc>
        <w:tc>
          <w:tcPr>
            <w:tcW w:type="dxa" w:w="2085"/>
          </w:tcPr>
          <w:p>
            <w:r>
              <w:rPr>
                <w:rFonts w:ascii="微软雅黑" w:hAnsi="微软雅黑" w:eastAsia="微软雅黑"/>
                <w:sz w:val="19"/>
              </w:rPr>
              <w:t>疑似资金异常归集</w:t>
            </w:r>
          </w:p>
        </w:tc>
      </w:tr>
      <w:tr>
        <w:tc>
          <w:tcPr>
            <w:tcW w:type="dxa" w:w="1772"/>
          </w:tcPr>
          <w:p>
            <w:r>
              <w:rPr>
                <w:rFonts w:ascii="微软雅黑" w:hAnsi="微软雅黑" w:eastAsia="微软雅黑"/>
                <w:sz w:val="19"/>
              </w:rPr>
              <w:t>HIGH_RISK_DEST</w:t>
            </w:r>
          </w:p>
        </w:tc>
        <w:tc>
          <w:tcPr>
            <w:tcW w:type="dxa" w:w="1772"/>
          </w:tcPr>
          <w:p>
            <w:r>
              <w:rPr>
                <w:rFonts w:ascii="微软雅黑" w:hAnsi="微软雅黑" w:eastAsia="微软雅黑"/>
                <w:sz w:val="19"/>
              </w:rPr>
              <w:t>高风险地区/高风险交易</w:t>
            </w:r>
          </w:p>
        </w:tc>
        <w:tc>
          <w:tcPr>
            <w:tcW w:type="dxa" w:w="2607"/>
          </w:tcPr>
          <w:p>
            <w:r>
              <w:rPr>
                <w:rFonts w:ascii="微软雅黑" w:hAnsi="微软雅黑" w:eastAsia="微软雅黑"/>
                <w:sz w:val="19"/>
              </w:rPr>
              <w:t>高风险标签交易 ≥1 笔</w:t>
            </w:r>
          </w:p>
        </w:tc>
        <w:tc>
          <w:tcPr>
            <w:tcW w:type="dxa" w:w="834"/>
          </w:tcPr>
          <w:p>
            <w:r>
              <w:rPr>
                <w:rFonts w:ascii="微软雅黑" w:hAnsi="微软雅黑" w:eastAsia="微软雅黑"/>
                <w:sz w:val="19"/>
              </w:rPr>
              <w:t>0.35</w:t>
            </w:r>
          </w:p>
        </w:tc>
        <w:tc>
          <w:tcPr>
            <w:tcW w:type="dxa" w:w="2085"/>
          </w:tcPr>
          <w:p>
            <w:r>
              <w:rPr>
                <w:rFonts w:ascii="微软雅黑" w:hAnsi="微软雅黑" w:eastAsia="微软雅黑"/>
                <w:sz w:val="19"/>
              </w:rPr>
              <w:t>需强化尽职调查（EDD）</w:t>
            </w:r>
          </w:p>
        </w:tc>
      </w:tr>
      <w:tr>
        <w:tc>
          <w:tcPr>
            <w:tcW w:type="dxa" w:w="1772"/>
          </w:tcPr>
          <w:p>
            <w:r>
              <w:rPr>
                <w:rFonts w:ascii="微软雅黑" w:hAnsi="微软雅黑" w:eastAsia="微软雅黑"/>
                <w:sz w:val="19"/>
              </w:rPr>
              <w:t>NIGHT_BURST</w:t>
            </w:r>
          </w:p>
        </w:tc>
        <w:tc>
          <w:tcPr>
            <w:tcW w:type="dxa" w:w="1772"/>
          </w:tcPr>
          <w:p>
            <w:r>
              <w:rPr>
                <w:rFonts w:ascii="微软雅黑" w:hAnsi="微软雅黑" w:eastAsia="微软雅黑"/>
                <w:sz w:val="19"/>
              </w:rPr>
              <w:t>夜间集中交易</w:t>
            </w:r>
          </w:p>
        </w:tc>
        <w:tc>
          <w:tcPr>
            <w:tcW w:type="dxa" w:w="2607"/>
          </w:tcPr>
          <w:p>
            <w:r>
              <w:rPr>
                <w:rFonts w:ascii="微软雅黑" w:hAnsi="微软雅黑" w:eastAsia="微软雅黑"/>
                <w:sz w:val="19"/>
              </w:rPr>
              <w:t>夜间交易占比 &gt; 50%</w:t>
            </w:r>
          </w:p>
        </w:tc>
        <w:tc>
          <w:tcPr>
            <w:tcW w:type="dxa" w:w="834"/>
          </w:tcPr>
          <w:p>
            <w:r>
              <w:rPr>
                <w:rFonts w:ascii="微软雅黑" w:hAnsi="微软雅黑" w:eastAsia="微软雅黑"/>
                <w:sz w:val="19"/>
              </w:rPr>
              <w:t>0.28</w:t>
            </w:r>
          </w:p>
        </w:tc>
        <w:tc>
          <w:tcPr>
            <w:tcW w:type="dxa" w:w="2085"/>
          </w:tcPr>
          <w:p>
            <w:r>
              <w:rPr>
                <w:rFonts w:ascii="微软雅黑" w:hAnsi="微软雅黑" w:eastAsia="微软雅黑"/>
                <w:sz w:val="19"/>
              </w:rPr>
              <w:t>交易时段与经营模式不符</w:t>
            </w:r>
          </w:p>
        </w:tc>
      </w:tr>
      <w:tr>
        <w:tc>
          <w:tcPr>
            <w:tcW w:type="dxa" w:w="1772"/>
          </w:tcPr>
          <w:p>
            <w:r>
              <w:rPr>
                <w:rFonts w:ascii="微软雅黑" w:hAnsi="微软雅黑" w:eastAsia="微软雅黑"/>
                <w:sz w:val="19"/>
              </w:rPr>
              <w:t>COUNTERPARTY_SPREAD</w:t>
            </w:r>
          </w:p>
        </w:tc>
        <w:tc>
          <w:tcPr>
            <w:tcW w:type="dxa" w:w="1772"/>
          </w:tcPr>
          <w:p>
            <w:r>
              <w:rPr>
                <w:rFonts w:ascii="微软雅黑" w:hAnsi="微软雅黑" w:eastAsia="微软雅黑"/>
                <w:sz w:val="19"/>
              </w:rPr>
              <w:t>收款人分散度异常</w:t>
            </w:r>
          </w:p>
        </w:tc>
        <w:tc>
          <w:tcPr>
            <w:tcW w:type="dxa" w:w="2607"/>
          </w:tcPr>
          <w:p>
            <w:r>
              <w:rPr>
                <w:rFonts w:ascii="微软雅黑" w:hAnsi="微软雅黑" w:eastAsia="微软雅黑"/>
                <w:sz w:val="19"/>
              </w:rPr>
              <w:t>对公付款方 ≥6 个</w:t>
            </w:r>
          </w:p>
        </w:tc>
        <w:tc>
          <w:tcPr>
            <w:tcW w:type="dxa" w:w="834"/>
          </w:tcPr>
          <w:p>
            <w:r>
              <w:rPr>
                <w:rFonts w:ascii="微软雅黑" w:hAnsi="微软雅黑" w:eastAsia="微软雅黑"/>
                <w:sz w:val="19"/>
              </w:rPr>
              <w:t>0.30</w:t>
            </w:r>
          </w:p>
        </w:tc>
        <w:tc>
          <w:tcPr>
            <w:tcW w:type="dxa" w:w="2085"/>
          </w:tcPr>
          <w:p>
            <w:r>
              <w:rPr>
                <w:rFonts w:ascii="微软雅黑" w:hAnsi="微软雅黑" w:eastAsia="微软雅黑"/>
                <w:sz w:val="19"/>
              </w:rPr>
              <w:t>疑似分销式资金归集</w:t>
            </w:r>
          </w:p>
        </w:tc>
      </w:tr>
      <w:tr>
        <w:tc>
          <w:tcPr>
            <w:tcW w:type="dxa" w:w="1772"/>
          </w:tcPr>
          <w:p>
            <w:r>
              <w:rPr>
                <w:rFonts w:ascii="微软雅黑" w:hAnsi="微软雅黑" w:eastAsia="微软雅黑"/>
                <w:sz w:val="19"/>
              </w:rPr>
              <w:t>NEW_MERCHANT_LARGE</w:t>
            </w:r>
          </w:p>
        </w:tc>
        <w:tc>
          <w:tcPr>
            <w:tcW w:type="dxa" w:w="1772"/>
          </w:tcPr>
          <w:p>
            <w:r>
              <w:rPr>
                <w:rFonts w:ascii="微软雅黑" w:hAnsi="微软雅黑" w:eastAsia="微软雅黑"/>
                <w:sz w:val="19"/>
              </w:rPr>
              <w:t>新商户大额交易</w:t>
            </w:r>
          </w:p>
        </w:tc>
        <w:tc>
          <w:tcPr>
            <w:tcW w:type="dxa" w:w="2607"/>
          </w:tcPr>
          <w:p>
            <w:r>
              <w:rPr>
                <w:rFonts w:ascii="微软雅黑" w:hAnsi="微软雅黑" w:eastAsia="微软雅黑"/>
                <w:sz w:val="19"/>
              </w:rPr>
              <w:t>入驻 &lt;3 个月且单笔 &gt;50 万元</w:t>
            </w:r>
          </w:p>
        </w:tc>
        <w:tc>
          <w:tcPr>
            <w:tcW w:type="dxa" w:w="834"/>
          </w:tcPr>
          <w:p>
            <w:r>
              <w:rPr>
                <w:rFonts w:ascii="微软雅黑" w:hAnsi="微软雅黑" w:eastAsia="微软雅黑"/>
                <w:sz w:val="19"/>
              </w:rPr>
              <w:t>0.33</w:t>
            </w:r>
          </w:p>
        </w:tc>
        <w:tc>
          <w:tcPr>
            <w:tcW w:type="dxa" w:w="2085"/>
          </w:tcPr>
          <w:p>
            <w:r>
              <w:rPr>
                <w:rFonts w:ascii="微软雅黑" w:hAnsi="微软雅黑" w:eastAsia="微软雅黑"/>
                <w:sz w:val="19"/>
              </w:rPr>
              <w:t>需核验贸易背景真实性</w:t>
            </w:r>
          </w:p>
        </w:tc>
      </w:tr>
    </w:tbl>
    <w:p/>
    <w:p>
      <w:pPr>
        <w:pStyle w:val="Heading3"/>
      </w:pPr>
      <w:r>
        <w:t>组合风险加成</w:t>
      </w:r>
    </w:p>
    <w:p>
      <w:r>
        <w:rPr>
          <w:rFonts w:ascii="微软雅黑" w:hAnsi="微软雅黑" w:eastAsia="微软雅黑"/>
          <w:b w:val="0"/>
        </w:rPr>
        <w:t>同一商户在检测窗口内命中多条规则时叠加组合风险加成：加成 = min(0.18, 0.07 × (命中数 − 1))。该机制对应跨境反洗钱实务中「多红旗叠加即升级为高危并上报可疑交易」的处置惯例。</w:t>
      </w:r>
    </w:p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实测（扫描 1500 笔交易）：生成预警 120 条，其中高危 16 条；命中规则分布为收款人分散 59 / 高风险交易 31 / 金额突增 11 / 短时高频 7；处置分布为二次验证 85 / 自动放行 19 / 转人工 16。</w:t>
      </w:r>
    </w:p>
    <w:p>
      <w:pPr>
        <w:pStyle w:val="Heading1"/>
      </w:pPr>
      <w:r>
        <w:t>四、支付智能路由规则配置</w:t>
      </w:r>
    </w:p>
    <w:p>
      <w:pPr>
        <w:pStyle w:val="Heading2"/>
      </w:pPr>
      <w:r>
        <w:t>4.1 评分权重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4"/>
        <w:gridCol w:w="960"/>
        <w:gridCol w:w="3415"/>
        <w:gridCol w:w="3522"/>
      </w:tblGrid>
      <w:tr>
        <w:tc>
          <w:tcPr>
            <w:tcW w:type="dxa" w:w="11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96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41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归一化口径</w:t>
            </w:r>
          </w:p>
        </w:tc>
        <w:tc>
          <w:tcPr>
            <w:tcW w:type="dxa" w:w="352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设计意图</w:t>
            </w:r>
          </w:p>
        </w:tc>
      </w:tr>
      <w:tr>
        <w:tc>
          <w:tcPr>
            <w:tcW w:type="dxa" w:w="1174"/>
          </w:tcPr>
          <w:p>
            <w:r>
              <w:rPr>
                <w:rFonts w:ascii="微软雅黑" w:hAnsi="微软雅黑" w:eastAsia="微软雅黑"/>
                <w:sz w:val="19"/>
              </w:rPr>
              <w:t>成本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  <w:tc>
          <w:tcPr>
            <w:tcW w:type="dxa" w:w="3415"/>
          </w:tcPr>
          <w:p>
            <w:r>
              <w:rPr>
                <w:rFonts w:ascii="微软雅黑" w:hAnsi="微软雅黑" w:eastAsia="微软雅黑"/>
                <w:sz w:val="19"/>
              </w:rPr>
              <w:t>1 − 通道费率 / 0.015</w:t>
            </w:r>
          </w:p>
        </w:tc>
        <w:tc>
          <w:tcPr>
            <w:tcW w:type="dxa" w:w="3522"/>
          </w:tcPr>
          <w:p>
            <w:r>
              <w:rPr>
                <w:rFonts w:ascii="微软雅黑" w:hAnsi="微软雅黑" w:eastAsia="微软雅黑"/>
                <w:sz w:val="19"/>
              </w:rPr>
              <w:t>跨境支付费率差异显著，成本优先</w:t>
            </w:r>
          </w:p>
        </w:tc>
      </w:tr>
      <w:tr>
        <w:tc>
          <w:tcPr>
            <w:tcW w:type="dxa" w:w="1174"/>
          </w:tcPr>
          <w:p>
            <w:r>
              <w:rPr>
                <w:rFonts w:ascii="微软雅黑" w:hAnsi="微软雅黑" w:eastAsia="微软雅黑"/>
                <w:sz w:val="19"/>
              </w:rPr>
              <w:t>成功率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9"/>
              </w:rPr>
              <w:t>30%</w:t>
            </w:r>
          </w:p>
        </w:tc>
        <w:tc>
          <w:tcPr>
            <w:tcW w:type="dxa" w:w="3415"/>
          </w:tcPr>
          <w:p>
            <w:r>
              <w:rPr>
                <w:rFonts w:ascii="微软雅黑" w:hAnsi="微软雅黑" w:eastAsia="微软雅黑"/>
                <w:sz w:val="19"/>
              </w:rPr>
              <w:t>通道历史成功率</w:t>
            </w:r>
          </w:p>
        </w:tc>
        <w:tc>
          <w:tcPr>
            <w:tcW w:type="dxa" w:w="3522"/>
          </w:tcPr>
          <w:p>
            <w:r>
              <w:rPr>
                <w:rFonts w:ascii="微软雅黑" w:hAnsi="微软雅黑" w:eastAsia="微软雅黑"/>
                <w:sz w:val="19"/>
              </w:rPr>
              <w:t>保障交易成功率与客户体验</w:t>
            </w:r>
          </w:p>
        </w:tc>
      </w:tr>
      <w:tr>
        <w:tc>
          <w:tcPr>
            <w:tcW w:type="dxa" w:w="1174"/>
          </w:tcPr>
          <w:p>
            <w:r>
              <w:rPr>
                <w:rFonts w:ascii="微软雅黑" w:hAnsi="微软雅黑" w:eastAsia="微软雅黑"/>
                <w:sz w:val="19"/>
              </w:rPr>
              <w:t>时效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type="dxa" w:w="3415"/>
          </w:tcPr>
          <w:p>
            <w:r>
              <w:rPr>
                <w:rFonts w:ascii="微软雅黑" w:hAnsi="微软雅黑" w:eastAsia="微软雅黑"/>
                <w:sz w:val="19"/>
              </w:rPr>
              <w:t>1 − 平均到账时长 / 4000ms</w:t>
            </w:r>
          </w:p>
        </w:tc>
        <w:tc>
          <w:tcPr>
            <w:tcW w:type="dxa" w:w="3522"/>
          </w:tcPr>
          <w:p>
            <w:r>
              <w:rPr>
                <w:rFonts w:ascii="微软雅黑" w:hAnsi="微软雅黑" w:eastAsia="微软雅黑"/>
                <w:sz w:val="19"/>
              </w:rPr>
              <w:t>满足「秒级到账」业务诉求</w:t>
            </w:r>
          </w:p>
        </w:tc>
      </w:tr>
      <w:tr>
        <w:tc>
          <w:tcPr>
            <w:tcW w:type="dxa" w:w="1174"/>
          </w:tcPr>
          <w:p>
            <w:r>
              <w:rPr>
                <w:rFonts w:ascii="微软雅黑" w:hAnsi="微软雅黑" w:eastAsia="微软雅黑"/>
                <w:sz w:val="19"/>
              </w:rPr>
              <w:t>合规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type="dxa" w:w="3415"/>
          </w:tcPr>
          <w:p>
            <w:r>
              <w:rPr>
                <w:rFonts w:ascii="微软雅黑" w:hAnsi="微软雅黑" w:eastAsia="微软雅黑"/>
                <w:sz w:val="19"/>
              </w:rPr>
              <w:t>基础 0.95，降级通道 −0.15，高风险订单 +0.05</w:t>
            </w:r>
          </w:p>
        </w:tc>
        <w:tc>
          <w:tcPr>
            <w:tcW w:type="dxa" w:w="3522"/>
          </w:tcPr>
          <w:p>
            <w:r>
              <w:rPr>
                <w:rFonts w:ascii="微软雅黑" w:hAnsi="微软雅黑" w:eastAsia="微软雅黑"/>
                <w:sz w:val="19"/>
              </w:rPr>
              <w:t>风险越高越偏好合规能力强的通道</w:t>
            </w:r>
          </w:p>
        </w:tc>
      </w:tr>
    </w:tbl>
    <w:p/>
    <w:p>
      <w:pPr>
        <w:pStyle w:val="Heading2"/>
      </w:pPr>
      <w:r>
        <w:t>4.2 合规前置排除（硬性条件）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通道状态为 down、不支持交易币种、不支持目的地地区、超出单笔限额 → 直接排除；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目的地属受限地区（IR / KP / SY / CU）→ 全部通道排除，交易转入合规专项审批；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排除原因随候选列表返回，保证路由决策可解释、可审计。</w:t>
      </w:r>
    </w:p>
    <w:p>
      <w:pPr>
        <w:pStyle w:val="Heading2"/>
      </w:pPr>
      <w:r>
        <w:t>4.3 失败重试与自动补偿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最大重试 2 次，指数退避 200ms / 600ms，重试时自动排除已失败通道；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重试耗尽后生成补偿单：改道重发或原路退回，订单状态置为 compensated 并上链存证；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前端提供「通道故障演练」开关（注入 0~60% 故障率），用于演示与验证重试补偿链路。</w:t>
      </w:r>
    </w:p>
    <w:p>
      <w:pPr>
        <w:pStyle w:val="Heading1"/>
      </w:pPr>
      <w:r>
        <w:t>五、规则配置操作流程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7"/>
        <w:gridCol w:w="3735"/>
        <w:gridCol w:w="1814"/>
        <w:gridCol w:w="2775"/>
      </w:tblGrid>
      <w:tr>
        <w:tc>
          <w:tcPr>
            <w:tcW w:type="dxa" w:w="74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73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18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77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平台落点</w:t>
            </w:r>
          </w:p>
        </w:tc>
      </w:tr>
      <w:tr>
        <w:tc>
          <w:tcPr>
            <w:tcW w:type="dxa" w:w="747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735"/>
          </w:tcPr>
          <w:p>
            <w:r>
              <w:rPr>
                <w:rFonts w:ascii="微软雅黑" w:hAnsi="微软雅黑" w:eastAsia="微软雅黑"/>
                <w:sz w:val="19"/>
              </w:rPr>
              <w:t>从左侧节点面板拖拽触发/判断/动作节点到画布，连线形成规则逻辑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全球合规负责人</w:t>
            </w:r>
          </w:p>
        </w:tc>
        <w:tc>
          <w:tcPr>
            <w:tcW w:type="dxa" w:w="2775"/>
          </w:tcPr>
          <w:p>
            <w:r>
              <w:rPr>
                <w:rFonts w:ascii="微软雅黑" w:hAnsi="微软雅黑" w:eastAsia="微软雅黑"/>
                <w:sz w:val="19"/>
              </w:rPr>
              <w:t>规则引擎配置页</w:t>
            </w:r>
          </w:p>
        </w:tc>
      </w:tr>
      <w:tr>
        <w:tc>
          <w:tcPr>
            <w:tcW w:type="dxa" w:w="747"/>
          </w:tcPr>
          <w:p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735"/>
          </w:tcPr>
          <w:p>
            <w:r>
              <w:rPr>
                <w:rFonts w:ascii="微软雅黑" w:hAnsi="微软雅黑" w:eastAsia="微软雅黑"/>
                <w:sz w:val="19"/>
              </w:rPr>
              <w:t>选中节点在右侧属性面板配置字段、操作符、比较值与动作参数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全球合规负责人</w:t>
            </w:r>
          </w:p>
        </w:tc>
        <w:tc>
          <w:tcPr>
            <w:tcW w:type="dxa" w:w="2775"/>
          </w:tcPr>
          <w:p>
            <w:r>
              <w:rPr>
                <w:rFonts w:ascii="微软雅黑" w:hAnsi="微软雅黑" w:eastAsia="微软雅黑"/>
                <w:sz w:val="19"/>
              </w:rPr>
              <w:t>同页右侧属性区</w:t>
            </w:r>
          </w:p>
        </w:tc>
      </w:tr>
      <w:tr>
        <w:tc>
          <w:tcPr>
            <w:tcW w:type="dxa" w:w="747"/>
          </w:tcPr>
          <w:p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735"/>
          </w:tcPr>
          <w:p>
            <w:r>
              <w:rPr>
                <w:rFonts w:ascii="微软雅黑" w:hAnsi="微软雅黑" w:eastAsia="微软雅黑"/>
                <w:sz w:val="19"/>
              </w:rPr>
              <w:t>保存规则（自动生成规则编号并记录版本与修改人）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全球合规负责人</w:t>
            </w:r>
          </w:p>
        </w:tc>
        <w:tc>
          <w:tcPr>
            <w:tcW w:type="dxa" w:w="2775"/>
          </w:tcPr>
          <w:p>
            <w:r>
              <w:rPr>
                <w:rFonts w:ascii="微软雅黑" w:hAnsi="微软雅黑" w:eastAsia="微软雅黑"/>
                <w:sz w:val="19"/>
              </w:rPr>
              <w:t>POST /api/compliance/rules</w:t>
            </w:r>
          </w:p>
        </w:tc>
      </w:tr>
      <w:tr>
        <w:tc>
          <w:tcPr>
            <w:tcW w:type="dxa" w:w="747"/>
          </w:tcPr>
          <w:p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735"/>
          </w:tcPr>
          <w:p>
            <w:r>
              <w:rPr>
                <w:rFonts w:ascii="微软雅黑" w:hAnsi="微软雅黑" w:eastAsia="微软雅黑"/>
                <w:sz w:val="19"/>
              </w:rPr>
              <w:t>启用/禁用规则、调整优先级（按优先级顺序执行）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全球合规负责人</w:t>
            </w:r>
          </w:p>
        </w:tc>
        <w:tc>
          <w:tcPr>
            <w:tcW w:type="dxa" w:w="2775"/>
          </w:tcPr>
          <w:p>
            <w:r>
              <w:rPr>
                <w:rFonts w:ascii="微软雅黑" w:hAnsi="微软雅黑" w:eastAsia="微软雅黑"/>
                <w:sz w:val="19"/>
              </w:rPr>
              <w:t>规则列表操作列</w:t>
            </w:r>
          </w:p>
        </w:tc>
      </w:tr>
      <w:tr>
        <w:tc>
          <w:tcPr>
            <w:tcW w:type="dxa" w:w="747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735"/>
          </w:tcPr>
          <w:p>
            <w:r>
              <w:rPr>
                <w:rFonts w:ascii="微软雅黑" w:hAnsi="微软雅黑" w:eastAsia="微软雅黑"/>
                <w:sz w:val="19"/>
              </w:rPr>
              <w:t>业务校验触发规则，命中情况计入 hitCount 并写入审计日志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系统自动</w:t>
            </w:r>
          </w:p>
        </w:tc>
        <w:tc>
          <w:tcPr>
            <w:tcW w:type="dxa" w:w="2775"/>
          </w:tcPr>
          <w:p>
            <w:r>
              <w:rPr>
                <w:rFonts w:ascii="微软雅黑" w:hAnsi="微软雅黑" w:eastAsia="微软雅黑"/>
                <w:sz w:val="19"/>
              </w:rPr>
              <w:t>POST /api/compliance/rules/validate</w:t>
            </w:r>
          </w:p>
        </w:tc>
      </w:tr>
      <w:tr>
        <w:tc>
          <w:tcPr>
            <w:tcW w:type="dxa" w:w="747"/>
          </w:tcPr>
          <w:p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3735"/>
          </w:tcPr>
          <w:p>
            <w:r>
              <w:rPr>
                <w:rFonts w:ascii="微软雅黑" w:hAnsi="微软雅黑" w:eastAsia="微软雅黑"/>
                <w:sz w:val="19"/>
              </w:rPr>
              <w:t>规则变更同步写入联盟链存证，支持按时间追溯规则版本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系统自动</w:t>
            </w:r>
          </w:p>
        </w:tc>
        <w:tc>
          <w:tcPr>
            <w:tcW w:type="dxa" w:w="2775"/>
          </w:tcPr>
          <w:p>
            <w:r>
              <w:rPr>
                <w:rFonts w:ascii="微软雅黑" w:hAnsi="微软雅黑" w:eastAsia="微软雅黑"/>
                <w:sz w:val="19"/>
              </w:rPr>
              <w:t>审计存证页</w:t>
            </w:r>
          </w:p>
        </w:tc>
      </w:tr>
    </w:tbl>
    <w:p/>
    <w:p>
      <w:pPr>
        <w:pStyle w:val="Heading1"/>
      </w:pPr>
      <w:r>
        <w:t>六、规则治理与迭代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法规跟踪：法规库覆盖 224 条法规 / 218 个司法辖区，新规发布后由合规团队转化为自动化规则；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效果回收：规则命中次数（hitCount）与人工复核结论对比，识别误拦与漏放并回流优化；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版本管理：每次保存递增版本号并记录修改人与时间，历史版本可追溯；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灰度与回滚：规则支持启停而不删除，异常时可立即禁用并恢复上一版本。</w:t>
      </w:r>
    </w:p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