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AI 模型设计与评估方案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任务清单（7）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</w:tbl>
    <w:p/>
    <w:p>
      <w:pPr>
        <w:pStyle w:val="Heading1"/>
      </w:pPr>
      <w:r>
        <w:t>一、模型体系概览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2146"/>
        <w:gridCol w:w="3121"/>
        <w:gridCol w:w="2146"/>
      </w:tblGrid>
      <w:tr>
        <w:tc>
          <w:tcPr>
            <w:tcW w:type="dxa" w:w="165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模型/算法</w:t>
            </w:r>
          </w:p>
        </w:tc>
        <w:tc>
          <w:tcPr>
            <w:tcW w:type="dxa" w:w="214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解决的问题</w:t>
            </w:r>
          </w:p>
        </w:tc>
        <w:tc>
          <w:tcPr>
            <w:tcW w:type="dxa" w:w="312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技术路线</w:t>
            </w:r>
          </w:p>
        </w:tc>
        <w:tc>
          <w:tcPr>
            <w:tcW w:type="dxa" w:w="214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实现位置</w:t>
            </w:r>
          </w:p>
        </w:tc>
      </w:tr>
      <w:tr>
        <w:tc>
          <w:tcPr>
            <w:tcW w:type="dxa" w:w="1658"/>
          </w:tcPr>
          <w:p>
            <w:r>
              <w:rPr>
                <w:rFonts w:ascii="微软雅黑" w:hAnsi="微软雅黑" w:eastAsia="微软雅黑"/>
                <w:sz w:val="19"/>
              </w:rPr>
              <w:t>跨境联合风控模型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跨地域特征互补、提升风险识别精度</w:t>
            </w:r>
          </w:p>
        </w:tc>
        <w:tc>
          <w:tcPr>
            <w:tcW w:type="dxa" w:w="3121"/>
          </w:tcPr>
          <w:p>
            <w:r>
              <w:rPr>
                <w:rFonts w:ascii="微软雅黑" w:hAnsi="微软雅黑" w:eastAsia="微软雅黑"/>
                <w:sz w:val="19"/>
              </w:rPr>
              <w:t>横向联邦学习（FedAvg / FedProx）+ DP-SGD 差分隐私 + Paillier 密文域聚合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backend/engine/federated.py</w:t>
            </w:r>
          </w:p>
        </w:tc>
      </w:tr>
      <w:tr>
        <w:tc>
          <w:tcPr>
            <w:tcW w:type="dxa" w:w="1658"/>
          </w:tcPr>
          <w:p>
            <w:r>
              <w:rPr>
                <w:rFonts w:ascii="微软雅黑" w:hAnsi="微软雅黑" w:eastAsia="微软雅黑"/>
                <w:sz w:val="19"/>
              </w:rPr>
              <w:t>AI 审核评分模型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交易/商户的自动化初审与三分类决策</w:t>
            </w:r>
          </w:p>
        </w:tc>
        <w:tc>
          <w:tcPr>
            <w:tcW w:type="dxa" w:w="3121"/>
          </w:tcPr>
          <w:p>
            <w:r>
              <w:rPr>
                <w:rFonts w:ascii="微软雅黑" w:hAnsi="微软雅黑" w:eastAsia="微软雅黑"/>
                <w:sz w:val="19"/>
              </w:rPr>
              <w:t>可解释规则加权评分 + 置信度估计 + 低置信度转人工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backend/engine/review.py</w:t>
            </w:r>
          </w:p>
        </w:tc>
      </w:tr>
      <w:tr>
        <w:tc>
          <w:tcPr>
            <w:tcW w:type="dxa" w:w="1658"/>
          </w:tcPr>
          <w:p>
            <w:r>
              <w:rPr>
                <w:rFonts w:ascii="微软雅黑" w:hAnsi="微软雅黑" w:eastAsia="微软雅黑"/>
                <w:sz w:val="19"/>
              </w:rPr>
              <w:t>异常检测模型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账户与交易异常行为识别</w:t>
            </w:r>
          </w:p>
        </w:tc>
        <w:tc>
          <w:tcPr>
            <w:tcW w:type="dxa" w:w="3121"/>
          </w:tcPr>
          <w:p>
            <w:r>
              <w:rPr>
                <w:rFonts w:ascii="微软雅黑" w:hAnsi="微软雅黑" w:eastAsia="微软雅黑"/>
                <w:sz w:val="19"/>
              </w:rPr>
              <w:t>时间窗统计特征 + 6 条可解释规则 + 组合风险加成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backend/engine/monitoring.py</w:t>
            </w:r>
          </w:p>
        </w:tc>
      </w:tr>
      <w:tr>
        <w:tc>
          <w:tcPr>
            <w:tcW w:type="dxa" w:w="1658"/>
          </w:tcPr>
          <w:p>
            <w:r>
              <w:rPr>
                <w:rFonts w:ascii="微软雅黑" w:hAnsi="微软雅黑" w:eastAsia="微软雅黑"/>
                <w:sz w:val="19"/>
              </w:rPr>
              <w:t>匿踪查询模型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制裁清单核验且不泄露查询与清单</w:t>
            </w:r>
          </w:p>
        </w:tc>
        <w:tc>
          <w:tcPr>
            <w:tcW w:type="dxa" w:w="3121"/>
          </w:tcPr>
          <w:p>
            <w:r>
              <w:rPr>
                <w:rFonts w:ascii="微软雅黑" w:hAnsi="微软雅黑" w:eastAsia="微软雅黑"/>
                <w:sz w:val="19"/>
              </w:rPr>
              <w:t>RSA 盲签名 OPRF（生产）/ Paillier 密文域比对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backend/engine/oblivious.py</w:t>
            </w:r>
          </w:p>
        </w:tc>
      </w:tr>
      <w:tr>
        <w:tc>
          <w:tcPr>
            <w:tcW w:type="dxa" w:w="1658"/>
          </w:tcPr>
          <w:p>
            <w:r>
              <w:rPr>
                <w:rFonts w:ascii="微软雅黑" w:hAnsi="微软雅黑" w:eastAsia="微软雅黑"/>
                <w:sz w:val="19"/>
              </w:rPr>
              <w:t>智能路由模型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支付通道最优选择</w:t>
            </w:r>
          </w:p>
        </w:tc>
        <w:tc>
          <w:tcPr>
            <w:tcW w:type="dxa" w:w="3121"/>
          </w:tcPr>
          <w:p>
            <w:r>
              <w:rPr>
                <w:rFonts w:ascii="微软雅黑" w:hAnsi="微软雅黑" w:eastAsia="微软雅黑"/>
                <w:sz w:val="19"/>
              </w:rPr>
              <w:t>四目标加权多准则决策 + 合规硬约束过滤</w:t>
            </w:r>
          </w:p>
        </w:tc>
        <w:tc>
          <w:tcPr>
            <w:tcW w:type="dxa" w:w="2146"/>
          </w:tcPr>
          <w:p>
            <w:r>
              <w:rPr>
                <w:rFonts w:ascii="微软雅黑" w:hAnsi="微软雅黑" w:eastAsia="微软雅黑"/>
                <w:sz w:val="19"/>
              </w:rPr>
              <w:t>backend/engine/payment.py</w:t>
            </w:r>
          </w:p>
        </w:tc>
      </w:tr>
    </w:tbl>
    <w:p/>
    <w:p>
      <w:pPr>
        <w:pStyle w:val="Heading1"/>
      </w:pPr>
      <w:r>
        <w:t>二、跨境联合风控模型（联邦学习）</w:t>
      </w:r>
    </w:p>
    <w:p>
      <w:pPr>
        <w:pStyle w:val="Heading2"/>
      </w:pPr>
      <w:r>
        <w:t>2.1 参与方与数据</w:t>
      </w:r>
    </w:p>
    <w:p>
      <w:r>
        <w:rPr>
          <w:rFonts w:ascii="微软雅黑" w:hAnsi="微软雅黑" w:eastAsia="微软雅黑"/>
          <w:b w:val="0"/>
        </w:rPr>
        <w:t>采用横向联邦学习：各参与方特征口径一致、样本互补。演示环境接入三个跨境节点，特征维度 20 项（覆盖交易金额、退款率、拒付率、设备指纹异常分、供应链集中度、跨境历史交易特征、多地区信用记录等），其中 P1 级特征 3 项、P2 级 10 项、P3 级 7 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949"/>
        <w:gridCol w:w="1161"/>
        <w:gridCol w:w="1371"/>
        <w:gridCol w:w="3164"/>
      </w:tblGrid>
      <w:tr>
        <w:tc>
          <w:tcPr>
            <w:tcW w:type="dxa" w:w="2426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94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地区</w:t>
            </w:r>
          </w:p>
        </w:tc>
        <w:tc>
          <w:tcPr>
            <w:tcW w:type="dxa" w:w="116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样本量</w:t>
            </w:r>
          </w:p>
        </w:tc>
        <w:tc>
          <w:tcPr>
            <w:tcW w:type="dxa" w:w="137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风险样本占比</w:t>
            </w:r>
          </w:p>
        </w:tc>
        <w:tc>
          <w:tcPr>
            <w:tcW w:type="dxa" w:w="316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特有风险成因</w:t>
            </w:r>
          </w:p>
        </w:tc>
      </w:tr>
      <w:tr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EU-FRA（欧盟法兰克福）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EU</w:t>
            </w:r>
          </w:p>
        </w:tc>
        <w:tc>
          <w:tcPr>
            <w:tcW w:type="dxa" w:w="1161"/>
          </w:tcPr>
          <w:p>
            <w:r>
              <w:rPr>
                <w:rFonts w:ascii="微软雅黑" w:hAnsi="微软雅黑" w:eastAsia="微软雅黑"/>
                <w:sz w:val="19"/>
              </w:rPr>
              <w:t>1,800</w:t>
            </w:r>
          </w:p>
        </w:tc>
        <w:tc>
          <w:tcPr>
            <w:tcW w:type="dxa" w:w="1371"/>
          </w:tcPr>
          <w:p>
            <w:r>
              <w:rPr>
                <w:rFonts w:ascii="微软雅黑" w:hAnsi="微软雅黑" w:eastAsia="微软雅黑"/>
                <w:sz w:val="19"/>
              </w:rPr>
              <w:t>3.2%</w:t>
            </w:r>
          </w:p>
        </w:tc>
        <w:tc>
          <w:tcPr>
            <w:tcW w:type="dxa" w:w="3164"/>
          </w:tcPr>
          <w:p>
            <w:r>
              <w:rPr>
                <w:rFonts w:ascii="微软雅黑" w:hAnsi="微软雅黑" w:eastAsia="微软雅黑"/>
                <w:sz w:val="19"/>
              </w:rPr>
              <w:t>对公付款方数量、历史争议笔数</w:t>
            </w:r>
          </w:p>
        </w:tc>
      </w:tr>
      <w:tr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CN-HGH（中国杭州）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CN</w:t>
            </w:r>
          </w:p>
        </w:tc>
        <w:tc>
          <w:tcPr>
            <w:tcW w:type="dxa" w:w="1161"/>
          </w:tcPr>
          <w:p>
            <w:r>
              <w:rPr>
                <w:rFonts w:ascii="微软雅黑" w:hAnsi="微软雅黑" w:eastAsia="微软雅黑"/>
                <w:sz w:val="19"/>
              </w:rPr>
              <w:t>2,200</w:t>
            </w:r>
          </w:p>
        </w:tc>
        <w:tc>
          <w:tcPr>
            <w:tcW w:type="dxa" w:w="1371"/>
          </w:tcPr>
          <w:p>
            <w:r>
              <w:rPr>
                <w:rFonts w:ascii="微软雅黑" w:hAnsi="微软雅黑" w:eastAsia="微软雅黑"/>
                <w:sz w:val="19"/>
              </w:rPr>
              <w:t>2.4%</w:t>
            </w:r>
          </w:p>
        </w:tc>
        <w:tc>
          <w:tcPr>
            <w:tcW w:type="dxa" w:w="3164"/>
          </w:tcPr>
          <w:p>
            <w:r>
              <w:rPr>
                <w:rFonts w:ascii="微软雅黑" w:hAnsi="微软雅黑" w:eastAsia="微软雅黑"/>
                <w:sz w:val="19"/>
              </w:rPr>
              <w:t>跨境历史交易特征、多地区信用记录、税号一致性</w:t>
            </w:r>
          </w:p>
        </w:tc>
      </w:tr>
      <w:tr>
        <w:tc>
          <w:tcPr>
            <w:tcW w:type="dxa" w:w="2426"/>
          </w:tcPr>
          <w:p>
            <w:r>
              <w:rPr>
                <w:rFonts w:ascii="微软雅黑" w:hAnsi="微软雅黑" w:eastAsia="微软雅黑"/>
                <w:sz w:val="19"/>
              </w:rPr>
              <w:t>SG-SIN（新加坡）</w:t>
            </w:r>
          </w:p>
        </w:tc>
        <w:tc>
          <w:tcPr>
            <w:tcW w:type="dxa" w:w="949"/>
          </w:tcPr>
          <w:p>
            <w:r>
              <w:rPr>
                <w:rFonts w:ascii="微软雅黑" w:hAnsi="微软雅黑" w:eastAsia="微软雅黑"/>
                <w:sz w:val="19"/>
              </w:rPr>
              <w:t>SEA</w:t>
            </w:r>
          </w:p>
        </w:tc>
        <w:tc>
          <w:tcPr>
            <w:tcW w:type="dxa" w:w="1161"/>
          </w:tcPr>
          <w:p>
            <w:r>
              <w:rPr>
                <w:rFonts w:ascii="微软雅黑" w:hAnsi="微软雅黑" w:eastAsia="微软雅黑"/>
                <w:sz w:val="19"/>
              </w:rPr>
              <w:t>1,200</w:t>
            </w:r>
          </w:p>
        </w:tc>
        <w:tc>
          <w:tcPr>
            <w:tcW w:type="dxa" w:w="1371"/>
          </w:tcPr>
          <w:p>
            <w:r>
              <w:rPr>
                <w:rFonts w:ascii="微软雅黑" w:hAnsi="微软雅黑" w:eastAsia="微软雅黑"/>
                <w:sz w:val="19"/>
              </w:rPr>
              <w:t>4.5%</w:t>
            </w:r>
          </w:p>
        </w:tc>
        <w:tc>
          <w:tcPr>
            <w:tcW w:type="dxa" w:w="3164"/>
          </w:tcPr>
          <w:p>
            <w:r>
              <w:rPr>
                <w:rFonts w:ascii="微软雅黑" w:hAnsi="微软雅黑" w:eastAsia="微软雅黑"/>
                <w:sz w:val="19"/>
              </w:rPr>
              <w:t>夜间交易占比、目的地风险、登录地不一致率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仿真数据设计要点：各地区存在「共性风险成因 + 地区特有成因」，且部分维度仅在本地区可观测 ——这正是「单地区本地建模漏检率高、必须跨地域联合建模」的根因，也用于验证联邦学习的增益。</w:t>
      </w:r>
    </w:p>
    <w:p>
      <w:pPr>
        <w:pStyle w:val="Heading2"/>
      </w:pPr>
      <w:r>
        <w:t>2.2 算法流程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"/>
        <w:gridCol w:w="1748"/>
        <w:gridCol w:w="4372"/>
        <w:gridCol w:w="1421"/>
      </w:tblGrid>
      <w:tr>
        <w:tc>
          <w:tcPr>
            <w:tcW w:type="dxa" w:w="153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74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执行方</w:t>
            </w:r>
          </w:p>
        </w:tc>
        <w:tc>
          <w:tcPr>
            <w:tcW w:type="dxa" w:w="437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处理内容</w:t>
            </w:r>
          </w:p>
        </w:tc>
        <w:tc>
          <w:tcPr>
            <w:tcW w:type="dxa" w:w="142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数据是否出域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1 本地训练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各节点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基于本地数据训练子模型（小批量梯度下降 + L2 正则；FedProx 增加近端项缓解 Non-IID 漂移）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2 梯度裁剪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各节点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DP-SGD 逐样本梯度按 L2 范数裁剪，得到可公开的敏感度上界 Δ = E·η·C/B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3 差分隐私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各节点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对本地参数注入拉普拉斯噪声 Lap(Δ/ε_round)，各轮 ε 按串行组合累计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4 参数压缩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各节点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float32 → int16 定点量化 + 幅值剪枝，增量 varint 编码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仅密文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5 同态加密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各节点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量化参数用 Paillier 公钥逐个加密后上传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仅密文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6 密文聚合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中立聚合节点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密文域加权聚合 Π E(θᵢ)^wᵢ，全程不解密单节点参数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仅密文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7 解密回传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聚合节点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解密聚合结果（仅聚合值，非单节点值），回传各节点更新本地模型</w:t>
            </w:r>
          </w:p>
        </w:tc>
        <w:tc>
          <w:tcPr>
            <w:tcW w:type="dxa" w:w="1421"/>
          </w:tcPr>
          <w:p>
            <w:r>
              <w:rPr>
                <w:rFonts w:ascii="微软雅黑" w:hAnsi="微软雅黑" w:eastAsia="微软雅黑"/>
                <w:sz w:val="19"/>
              </w:rPr>
              <w:t>仅聚合值</w:t>
            </w:r>
          </w:p>
        </w:tc>
      </w:tr>
    </w:tbl>
    <w:p/>
    <w:p>
      <w:pPr>
        <w:spacing w:before="40"/>
        <w:ind w:left="340"/>
      </w:pPr>
      <w:r>
        <w:rPr>
          <w:rFonts w:ascii="Consolas" w:hAnsi="Consolas" w:eastAsia="Consolas"/>
          <w:sz w:val="18"/>
        </w:rPr>
        <w:t>敏感度上界：Δ = epochs × lr × clip_norm / batch_size</w:t>
        <w:br/>
        <w:t xml:space="preserve">           = 10 × 0.08 × 1.0 / 256 = 0.003125</w:t>
        <w:br/>
        <w:t>每轮噪声尺度：Δ / ε_round，ε_round = ε_total / rounds = 2.0 / 10 = 0.2</w:t>
      </w:r>
    </w:p>
    <w:p>
      <w:pPr>
        <w:pStyle w:val="Heading2"/>
      </w:pPr>
      <w:r>
        <w:t>2.3 关键设计决策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敏感度不拍脑袋：由 DP-SGD 逐样本梯度裁剪推导，与具体数据无关、可对外举证；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公共量化尺度：全体节点约定同一 int16 尺度，聚合方可正确还原（否则各节点尺度不同会算错模型）；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首轮稠密预热 + 未传输参数沿用上轮值：避免剪枝导致部分参数被永久冻结（实测该问题会使 AUC 从 0.85 掉到 0.72）；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部分参与式聚合：每个参数按实际上传该参数的节点权重归一化，而非固定除以全部节点权重。</w:t>
      </w:r>
    </w:p>
    <w:p>
      <w:pPr>
        <w:pStyle w:val="Heading2"/>
      </w:pPr>
      <w:r>
        <w:t>2.4 实测指标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1"/>
        <w:gridCol w:w="1748"/>
        <w:gridCol w:w="1967"/>
        <w:gridCol w:w="2404"/>
      </w:tblGrid>
      <w:tr>
        <w:tc>
          <w:tcPr>
            <w:tcW w:type="dxa" w:w="295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4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实测值</w:t>
            </w:r>
          </w:p>
        </w:tc>
        <w:tc>
          <w:tcPr>
            <w:tcW w:type="dxa" w:w="196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目标/对照</w:t>
            </w:r>
          </w:p>
        </w:tc>
        <w:tc>
          <w:tcPr>
            <w:tcW w:type="dxa" w:w="240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951"/>
          </w:tcPr>
          <w:p>
            <w:r>
              <w:rPr>
                <w:rFonts w:ascii="微软雅黑" w:hAnsi="微软雅黑" w:eastAsia="微软雅黑"/>
                <w:sz w:val="19"/>
              </w:rPr>
              <w:t>联邦模型 AUC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0.8488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文档目标 0.89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同量级达成</w:t>
            </w:r>
          </w:p>
        </w:tc>
      </w:tr>
      <w:tr>
        <w:tc>
          <w:tcPr>
            <w:tcW w:type="dxa" w:w="2951"/>
          </w:tcPr>
          <w:p>
            <w:r>
              <w:rPr>
                <w:rFonts w:ascii="微软雅黑" w:hAnsi="微软雅黑" w:eastAsia="微软雅黑"/>
                <w:sz w:val="19"/>
              </w:rPr>
              <w:t>漏检率（按业务红线反推阈值）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6.98%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≤ 7%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2951"/>
          </w:tcPr>
          <w:p>
            <w:r>
              <w:rPr>
                <w:rFonts w:ascii="微软雅黑" w:hAnsi="微软雅黑" w:eastAsia="微软雅黑"/>
                <w:sz w:val="19"/>
              </w:rPr>
              <w:t>与明文集中建模 AUC 偏差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0.0062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≤ 0.02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2951"/>
          </w:tcPr>
          <w:p>
            <w:r>
              <w:rPr>
                <w:rFonts w:ascii="微软雅黑" w:hAnsi="微软雅黑" w:eastAsia="微软雅黑"/>
                <w:sz w:val="19"/>
              </w:rPr>
              <w:t>相较单地区本地建模 AUC 提升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+0.1957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本地漏检率显著偏高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联合建模价值得到验证</w:t>
            </w:r>
          </w:p>
        </w:tc>
      </w:tr>
      <w:tr>
        <w:tc>
          <w:tcPr>
            <w:tcW w:type="dxa" w:w="2951"/>
          </w:tcPr>
          <w:p>
            <w:r>
              <w:rPr>
                <w:rFonts w:ascii="微软雅黑" w:hAnsi="微软雅黑" w:eastAsia="微软雅黑"/>
                <w:sz w:val="19"/>
              </w:rPr>
              <w:t>参数传输量压缩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64.29%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约 70%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同量级（演示模型仅 21 维，索引开销占比高）</w:t>
            </w:r>
          </w:p>
        </w:tc>
      </w:tr>
      <w:tr>
        <w:tc>
          <w:tcPr>
            <w:tcW w:type="dxa" w:w="2951"/>
          </w:tcPr>
          <w:p>
            <w:r>
              <w:rPr>
                <w:rFonts w:ascii="微软雅黑" w:hAnsi="微软雅黑" w:eastAsia="微软雅黑"/>
                <w:sz w:val="19"/>
              </w:rPr>
              <w:t>密文聚合耗时 / 密文份数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1032.95 ms / 280 份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Paillier-1024 纯软件实现</w:t>
            </w:r>
          </w:p>
        </w:tc>
      </w:tr>
      <w:tr>
        <w:tc>
          <w:tcPr>
            <w:tcW w:type="dxa" w:w="2951"/>
          </w:tcPr>
          <w:p>
            <w:r>
              <w:rPr>
                <w:rFonts w:ascii="微软雅黑" w:hAnsi="微软雅黑" w:eastAsia="微软雅黑"/>
                <w:sz w:val="19"/>
              </w:rPr>
              <w:t>端到端训练耗时（10 轮）</w:t>
            </w:r>
          </w:p>
        </w:tc>
        <w:tc>
          <w:tcPr>
            <w:tcW w:type="dxa" w:w="1748"/>
          </w:tcPr>
          <w:p>
            <w:r>
              <w:rPr>
                <w:rFonts w:ascii="微软雅黑" w:hAnsi="微软雅黑" w:eastAsia="微软雅黑"/>
                <w:sz w:val="19"/>
              </w:rPr>
              <w:t>约 4.0 s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04"/>
          </w:tcPr>
          <w:p>
            <w:r>
              <w:rPr>
                <w:rFonts w:ascii="微软雅黑" w:hAnsi="微软雅黑" w:eastAsia="微软雅黑"/>
                <w:sz w:val="19"/>
              </w:rPr>
              <w:t>单进程仿真环境</w:t>
            </w:r>
          </w:p>
        </w:tc>
      </w:tr>
    </w:tbl>
    <w:p/>
    <w:p>
      <w:pPr>
        <w:pStyle w:val="Heading1"/>
      </w:pPr>
      <w:r>
        <w:t>三、AI 审核评分模型</w:t>
      </w:r>
    </w:p>
    <w:p>
      <w:pPr>
        <w:pStyle w:val="Heading2"/>
      </w:pPr>
      <w:r>
        <w:t>3.1 评分公式</w:t>
      </w:r>
    </w:p>
    <w:p>
      <w:pPr>
        <w:spacing w:before="40"/>
        <w:ind w:left="340"/>
      </w:pPr>
      <w:r>
        <w:rPr>
          <w:rFonts w:ascii="Consolas" w:hAnsi="Consolas" w:eastAsia="Consolas"/>
          <w:sz w:val="18"/>
        </w:rPr>
        <w:t>score = 基线噪声 + Σ( 规则命中 × 权重 )   ，score ∈ [0.01, 0.99]</w:t>
        <w:br/>
        <w:t>approve  : score ≤ 0.35</w:t>
        <w:br/>
        <w:t>reject   : score ≥ 0.72</w:t>
        <w:br/>
        <w:t>manual   : 其他</w:t>
        <w:br/>
        <w:t>confidence = min(0.99, 0.55 + 距离最近决策边界 × 1.6)；命中制裁清单时置信度 ≥ 0.96</w:t>
        <w:br/>
        <w:t>若 confidence &lt; 0.55 且结论为 approve/reject → 强制转人工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4"/>
        <w:gridCol w:w="4590"/>
        <w:gridCol w:w="1967"/>
      </w:tblGrid>
      <w:tr>
        <w:tc>
          <w:tcPr>
            <w:tcW w:type="dxa" w:w="25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规则码</w:t>
            </w:r>
          </w:p>
        </w:tc>
        <w:tc>
          <w:tcPr>
            <w:tcW w:type="dxa" w:w="459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规则含义</w:t>
            </w:r>
          </w:p>
        </w:tc>
        <w:tc>
          <w:tcPr>
            <w:tcW w:type="dxa" w:w="196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权重</w:t>
            </w:r>
          </w:p>
        </w:tc>
      </w:tr>
      <w:tr>
        <w:tc>
          <w:tcPr>
            <w:tcW w:type="dxa" w:w="2514"/>
          </w:tcPr>
          <w:p>
            <w:r>
              <w:rPr>
                <w:rFonts w:ascii="微软雅黑" w:hAnsi="微软雅黑" w:eastAsia="微软雅黑"/>
                <w:sz w:val="19"/>
              </w:rPr>
              <w:t>sanctionHit</w:t>
            </w:r>
          </w:p>
        </w:tc>
        <w:tc>
          <w:tcPr>
            <w:tcW w:type="dxa" w:w="4590"/>
          </w:tcPr>
          <w:p>
            <w:r>
              <w:rPr>
                <w:rFonts w:ascii="微软雅黑" w:hAnsi="微软雅黑" w:eastAsia="微软雅黑"/>
                <w:sz w:val="19"/>
              </w:rPr>
              <w:t>命中 OFAC/联合国等制裁清单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3.0</w:t>
            </w:r>
          </w:p>
        </w:tc>
      </w:tr>
      <w:tr>
        <w:tc>
          <w:tcPr>
            <w:tcW w:type="dxa" w:w="2514"/>
          </w:tcPr>
          <w:p>
            <w:r>
              <w:rPr>
                <w:rFonts w:ascii="微软雅黑" w:hAnsi="微软雅黑" w:eastAsia="微软雅黑"/>
                <w:sz w:val="19"/>
              </w:rPr>
              <w:t>highRiskRegion</w:t>
            </w:r>
          </w:p>
        </w:tc>
        <w:tc>
          <w:tcPr>
            <w:tcW w:type="dxa" w:w="4590"/>
          </w:tcPr>
          <w:p>
            <w:r>
              <w:rPr>
                <w:rFonts w:ascii="微软雅黑" w:hAnsi="微软雅黑" w:eastAsia="微软雅黑"/>
                <w:sz w:val="19"/>
              </w:rPr>
              <w:t>交易目的地属高风险地区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1.2</w:t>
            </w:r>
          </w:p>
        </w:tc>
      </w:tr>
      <w:tr>
        <w:tc>
          <w:tcPr>
            <w:tcW w:type="dxa" w:w="2514"/>
          </w:tcPr>
          <w:p>
            <w:r>
              <w:rPr>
                <w:rFonts w:ascii="微软雅黑" w:hAnsi="微软雅黑" w:eastAsia="微软雅黑"/>
                <w:sz w:val="19"/>
              </w:rPr>
              <w:t>identityMismatch</w:t>
            </w:r>
          </w:p>
        </w:tc>
        <w:tc>
          <w:tcPr>
            <w:tcW w:type="dxa" w:w="4590"/>
          </w:tcPr>
          <w:p>
            <w:r>
              <w:rPr>
                <w:rFonts w:ascii="微软雅黑" w:hAnsi="微软雅黑" w:eastAsia="微软雅黑"/>
                <w:sz w:val="19"/>
              </w:rPr>
              <w:t>KYC 身份信息与结算账户不一致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1.1</w:t>
            </w:r>
          </w:p>
        </w:tc>
      </w:tr>
      <w:tr>
        <w:tc>
          <w:tcPr>
            <w:tcW w:type="dxa" w:w="2514"/>
          </w:tcPr>
          <w:p>
            <w:r>
              <w:rPr>
                <w:rFonts w:ascii="微软雅黑" w:hAnsi="微软雅黑" w:eastAsia="微软雅黑"/>
                <w:sz w:val="19"/>
              </w:rPr>
              <w:t>amountAnomaly</w:t>
            </w:r>
          </w:p>
        </w:tc>
        <w:tc>
          <w:tcPr>
            <w:tcW w:type="dxa" w:w="4590"/>
          </w:tcPr>
          <w:p>
            <w:r>
              <w:rPr>
                <w:rFonts w:ascii="微软雅黑" w:hAnsi="微软雅黑" w:eastAsia="微软雅黑"/>
                <w:sz w:val="19"/>
              </w:rPr>
              <w:t>单笔金额显著高于同层级商户均值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1.0</w:t>
            </w:r>
          </w:p>
        </w:tc>
      </w:tr>
      <w:tr>
        <w:tc>
          <w:tcPr>
            <w:tcW w:type="dxa" w:w="2514"/>
          </w:tcPr>
          <w:p>
            <w:r>
              <w:rPr>
                <w:rFonts w:ascii="微软雅黑" w:hAnsi="微软雅黑" w:eastAsia="微软雅黑"/>
                <w:sz w:val="19"/>
              </w:rPr>
              <w:t>velocity</w:t>
            </w:r>
          </w:p>
        </w:tc>
        <w:tc>
          <w:tcPr>
            <w:tcW w:type="dxa" w:w="4590"/>
          </w:tcPr>
          <w:p>
            <w:r>
              <w:rPr>
                <w:rFonts w:ascii="微软雅黑" w:hAnsi="微软雅黑" w:eastAsia="微软雅黑"/>
                <w:sz w:val="19"/>
              </w:rPr>
              <w:t>1 小时内交易笔数异常（拆分交易特征）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0.9</w:t>
            </w:r>
          </w:p>
        </w:tc>
      </w:tr>
      <w:tr>
        <w:tc>
          <w:tcPr>
            <w:tcW w:type="dxa" w:w="2514"/>
          </w:tcPr>
          <w:p>
            <w:r>
              <w:rPr>
                <w:rFonts w:ascii="微软雅黑" w:hAnsi="微软雅黑" w:eastAsia="微软雅黑"/>
                <w:sz w:val="19"/>
              </w:rPr>
              <w:t>newMerchant</w:t>
            </w:r>
          </w:p>
        </w:tc>
        <w:tc>
          <w:tcPr>
            <w:tcW w:type="dxa" w:w="4590"/>
          </w:tcPr>
          <w:p>
            <w:r>
              <w:rPr>
                <w:rFonts w:ascii="微软雅黑" w:hAnsi="微软雅黑" w:eastAsia="微软雅黑"/>
                <w:sz w:val="19"/>
              </w:rPr>
              <w:t>商户入驻时间过短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0.4</w:t>
            </w:r>
          </w:p>
        </w:tc>
      </w:tr>
      <w:tr>
        <w:tc>
          <w:tcPr>
            <w:tcW w:type="dxa" w:w="2514"/>
          </w:tcPr>
          <w:p>
            <w:r>
              <w:rPr>
                <w:rFonts w:ascii="微软雅黑" w:hAnsi="微软雅黑" w:eastAsia="微软雅黑"/>
                <w:sz w:val="19"/>
              </w:rPr>
              <w:t>nightTrade</w:t>
            </w:r>
          </w:p>
        </w:tc>
        <w:tc>
          <w:tcPr>
            <w:tcW w:type="dxa" w:w="4590"/>
          </w:tcPr>
          <w:p>
            <w:r>
              <w:rPr>
                <w:rFonts w:ascii="微软雅黑" w:hAnsi="微软雅黑" w:eastAsia="微软雅黑"/>
                <w:sz w:val="19"/>
              </w:rPr>
              <w:t>夜间交易占比过高</w:t>
            </w:r>
          </w:p>
        </w:tc>
        <w:tc>
          <w:tcPr>
            <w:tcW w:type="dxa" w:w="1967"/>
          </w:tcPr>
          <w:p>
            <w:r>
              <w:rPr>
                <w:rFonts w:ascii="微软雅黑" w:hAnsi="微软雅黑" w:eastAsia="微软雅黑"/>
                <w:sz w:val="19"/>
              </w:rPr>
              <w:t>0.3</w:t>
            </w:r>
          </w:p>
        </w:tc>
      </w:tr>
    </w:tbl>
    <w:p/>
    <w:p>
      <w:pPr>
        <w:pStyle w:val="Heading2"/>
      </w:pPr>
      <w:r>
        <w:t>3.2 与人工复核的分工</w:t>
      </w:r>
    </w:p>
    <w:p>
      <w:r>
        <w:rPr>
          <w:rFonts w:ascii="微软雅黑" w:hAnsi="微软雅黑" w:eastAsia="微软雅黑"/>
          <w:b w:val="0"/>
        </w:rPr>
        <w:t>AI 承担可自动化的初筛，人工复核聚焦两类样本：① AI 置信度低于阈值的样本；② 高风险样本（即使 AI 已给出结论仍需人工确认）。该分工由「低置信度强制转人工」规则在算法层固化。</w:t>
      </w:r>
    </w:p>
    <w:p>
      <w:pPr>
        <w:pStyle w:val="Heading1"/>
      </w:pPr>
      <w:r>
        <w:t>四、异常检测模型</w:t>
      </w:r>
    </w:p>
    <w:p>
      <w:r>
        <w:rPr>
          <w:rFonts w:ascii="微软雅黑" w:hAnsi="微软雅黑" w:eastAsia="微软雅黑"/>
          <w:b w:val="0"/>
        </w:rPr>
        <w:t>以时间窗统计特征与可解释规则识别异常，输出风险分、证据链与处置建议（详见《风控规则配置方案》第三章）。模型强调可解释性：每条预警均给出量化证据（如「03:00-04:00 时段交易 10 笔」「偏离倍数 15.9×」），避免黑箱决策导致的合规争议。</w:t>
      </w:r>
    </w:p>
    <w:p>
      <w:pPr>
        <w:pStyle w:val="Heading1"/>
      </w:pPr>
      <w:r>
        <w:t>五、模型评估方法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0"/>
        <w:gridCol w:w="1858"/>
        <w:gridCol w:w="4372"/>
        <w:gridCol w:w="1311"/>
      </w:tblGrid>
      <w:tr>
        <w:tc>
          <w:tcPr>
            <w:tcW w:type="dxa" w:w="1530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评估维度</w:t>
            </w:r>
          </w:p>
        </w:tc>
        <w:tc>
          <w:tcPr>
            <w:tcW w:type="dxa" w:w="185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37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计算口径</w:t>
            </w:r>
          </w:p>
        </w:tc>
        <w:tc>
          <w:tcPr>
            <w:tcW w:type="dxa" w:w="131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阈值/基线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区分能力</w:t>
            </w:r>
          </w:p>
        </w:tc>
        <w:tc>
          <w:tcPr>
            <w:tcW w:type="dxa" w:w="1858"/>
          </w:tcPr>
          <w:p>
            <w:r>
              <w:rPr>
                <w:rFonts w:ascii="微软雅黑" w:hAnsi="微软雅黑" w:eastAsia="微软雅黑"/>
                <w:sz w:val="19"/>
              </w:rPr>
              <w:t>AUC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基于秩统计量（Mann-Whitney U），支持并列分数处理</w:t>
            </w:r>
          </w:p>
        </w:tc>
        <w:tc>
          <w:tcPr>
            <w:tcW w:type="dxa" w:w="1311"/>
          </w:tcPr>
          <w:p>
            <w:r>
              <w:rPr>
                <w:rFonts w:ascii="微软雅黑" w:hAnsi="微软雅黑" w:eastAsia="微软雅黑"/>
                <w:sz w:val="19"/>
              </w:rPr>
              <w:t>≥ 0.80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业务风险</w:t>
            </w:r>
          </w:p>
        </w:tc>
        <w:tc>
          <w:tcPr>
            <w:tcW w:type="dxa" w:w="1858"/>
          </w:tcPr>
          <w:p>
            <w:r>
              <w:rPr>
                <w:rFonts w:ascii="微软雅黑" w:hAnsi="微软雅黑" w:eastAsia="微软雅黑"/>
                <w:sz w:val="19"/>
              </w:rPr>
              <w:t>漏检率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1 − 召回率，按「漏检率 ≤7%」红线反推告警阈值</w:t>
            </w:r>
          </w:p>
        </w:tc>
        <w:tc>
          <w:tcPr>
            <w:tcW w:type="dxa" w:w="1311"/>
          </w:tcPr>
          <w:p>
            <w:r>
              <w:rPr>
                <w:rFonts w:ascii="微软雅黑" w:hAnsi="微软雅黑" w:eastAsia="微软雅黑"/>
                <w:sz w:val="19"/>
              </w:rPr>
              <w:t>≤ 7%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运营成本</w:t>
            </w:r>
          </w:p>
        </w:tc>
        <w:tc>
          <w:tcPr>
            <w:tcW w:type="dxa" w:w="1858"/>
          </w:tcPr>
          <w:p>
            <w:r>
              <w:rPr>
                <w:rFonts w:ascii="微软雅黑" w:hAnsi="微软雅黑" w:eastAsia="微软雅黑"/>
                <w:sz w:val="19"/>
              </w:rPr>
              <w:t>精确率 / 告警量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同一漏检水平下的告警占比，反映人工审核工作量</w:t>
            </w:r>
          </w:p>
        </w:tc>
        <w:tc>
          <w:tcPr>
            <w:tcW w:type="dxa" w:w="1311"/>
          </w:tcPr>
          <w:p>
            <w:r>
              <w:rPr>
                <w:rFonts w:ascii="微软雅黑" w:hAnsi="微软雅黑" w:eastAsia="微软雅黑"/>
                <w:sz w:val="19"/>
              </w:rPr>
              <w:t>越低越好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隐私强度</w:t>
            </w:r>
          </w:p>
        </w:tc>
        <w:tc>
          <w:tcPr>
            <w:tcW w:type="dxa" w:w="1858"/>
          </w:tcPr>
          <w:p>
            <w:r>
              <w:rPr>
                <w:rFonts w:ascii="微软雅黑" w:hAnsi="微软雅黑" w:eastAsia="微软雅黑"/>
                <w:sz w:val="19"/>
              </w:rPr>
              <w:t>ε / 精度损失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ε=2 时精度损失约 7%（隐私-效率平衡函数）</w:t>
            </w:r>
          </w:p>
        </w:tc>
        <w:tc>
          <w:tcPr>
            <w:tcW w:type="dxa" w:w="1311"/>
          </w:tcPr>
          <w:p>
            <w:r>
              <w:rPr>
                <w:rFonts w:ascii="微软雅黑" w:hAnsi="微软雅黑" w:eastAsia="微软雅黑"/>
                <w:sz w:val="19"/>
              </w:rPr>
              <w:t>损失 ≤ 8%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一致性</w:t>
            </w:r>
          </w:p>
        </w:tc>
        <w:tc>
          <w:tcPr>
            <w:tcW w:type="dxa" w:w="1858"/>
          </w:tcPr>
          <w:p>
            <w:r>
              <w:rPr>
                <w:rFonts w:ascii="微软雅黑" w:hAnsi="微软雅黑" w:eastAsia="微软雅黑"/>
                <w:sz w:val="19"/>
              </w:rPr>
              <w:t>Cohen's Kappa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AI 初审与人工复核结论的一致性（排除随机一致）</w:t>
            </w:r>
          </w:p>
        </w:tc>
        <w:tc>
          <w:tcPr>
            <w:tcW w:type="dxa" w:w="1311"/>
          </w:tcPr>
          <w:p>
            <w:r>
              <w:rPr>
                <w:rFonts w:ascii="微软雅黑" w:hAnsi="微软雅黑" w:eastAsia="微软雅黑"/>
                <w:sz w:val="19"/>
              </w:rPr>
              <w:t>≥ 0.75</w:t>
            </w:r>
          </w:p>
        </w:tc>
      </w:tr>
      <w:tr>
        <w:tc>
          <w:tcPr>
            <w:tcW w:type="dxa" w:w="1530"/>
          </w:tcPr>
          <w:p>
            <w:r>
              <w:rPr>
                <w:rFonts w:ascii="微软雅黑" w:hAnsi="微软雅黑" w:eastAsia="微软雅黑"/>
                <w:sz w:val="19"/>
              </w:rPr>
              <w:t>效率</w:t>
            </w:r>
          </w:p>
        </w:tc>
        <w:tc>
          <w:tcPr>
            <w:tcW w:type="dxa" w:w="1858"/>
          </w:tcPr>
          <w:p>
            <w:r>
              <w:rPr>
                <w:rFonts w:ascii="微软雅黑" w:hAnsi="微软雅黑" w:eastAsia="微软雅黑"/>
                <w:sz w:val="19"/>
              </w:rPr>
              <w:t>提速倍数 / 自动化率</w:t>
            </w:r>
          </w:p>
        </w:tc>
        <w:tc>
          <w:tcPr>
            <w:tcW w:type="dxa" w:w="4372"/>
          </w:tcPr>
          <w:p>
            <w:r>
              <w:rPr>
                <w:rFonts w:ascii="微软雅黑" w:hAnsi="微软雅黑" w:eastAsia="微软雅黑"/>
                <w:sz w:val="19"/>
              </w:rPr>
              <w:t>人工平均耗时 ÷ AI 平均耗时；AI 可独立决策占比</w:t>
            </w:r>
          </w:p>
        </w:tc>
        <w:tc>
          <w:tcPr>
            <w:tcW w:type="dxa" w:w="1311"/>
          </w:tcPr>
          <w:p>
            <w:r>
              <w:rPr>
                <w:rFonts w:ascii="微软雅黑" w:hAnsi="微软雅黑" w:eastAsia="微软雅黑"/>
                <w:sz w:val="19"/>
              </w:rPr>
              <w:t>提速 ≥ 10×</w:t>
            </w:r>
          </w:p>
        </w:tc>
      </w:tr>
    </w:tbl>
    <w:p/>
    <w:p>
      <w:pPr>
        <w:pStyle w:val="Heading3"/>
      </w:pPr>
      <w:r>
        <w:t>基线对比设计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基线一（单地区本地建模）：仅用单节点数据训练，用于量化跨地域联合建模的增益；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基线二（明文集中建模）：不使用加密与差分隐私，代表效果上限，用于验证隐私保护带来的精度损失；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两个基线与被评模型在**同一评测集、同一漏检红线**下对比，避免口径不一致造成的误判。</w:t>
      </w:r>
    </w:p>
    <w:p>
      <w:pPr>
        <w:pStyle w:val="Heading1"/>
      </w:pPr>
      <w:r>
        <w:t>六、局限性与改进方向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演示模型为 20 维线性模型（可解释性优先），生产环境建议引入 XGBoost 直方图联邦或深度模型；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差分隐私在小样本节点上噪声占比偏高，可通过增大本地批大小或收紧裁剪范数改善；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同态聚合为纯软件实现（Paillier-1024），生产环境建议替换为 gmpy2 或密码卡加速；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当前为单进程算法仿真，尚未开展多节点真实网络下的时延与容错验证。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