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AI 审核一致性管理方案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任务清单（8）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</w:tbl>
    <w:p/>
    <w:p>
      <w:pPr>
        <w:pStyle w:val="Heading1"/>
      </w:pPr>
      <w:r>
        <w:t>一、需求对齐</w:t>
      </w:r>
    </w:p>
    <w:p>
      <w:r>
        <w:rPr>
          <w:rFonts w:ascii="微软雅黑" w:hAnsi="微软雅黑" w:eastAsia="微软雅黑"/>
          <w:b w:val="0"/>
        </w:rPr>
        <w:t>赛题「实现目标 3」及「建设范围四」明确要求：建立统一审核标准、统一风险标签、统一处置口径和一致性评估机制，形成「AI 初审、人工复核、差异回流、持续优化」的协同审核模式，在提升审核效率的同时保障审核质量、结果稳定性和业务可控性。本方案即对该要求的落地设计。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0"/>
        <w:gridCol w:w="3650"/>
        <w:gridCol w:w="3650"/>
      </w:tblGrid>
      <w:tr>
        <w:tc>
          <w:tcPr>
            <w:tcW w:type="dxa" w:w="177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赛题要求</w:t>
            </w:r>
          </w:p>
        </w:tc>
        <w:tc>
          <w:tcPr>
            <w:tcW w:type="dxa" w:w="365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本方案对应设计</w:t>
            </w:r>
          </w:p>
        </w:tc>
        <w:tc>
          <w:tcPr>
            <w:tcW w:type="dxa" w:w="365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平台落点</w:t>
            </w:r>
          </w:p>
        </w:tc>
      </w:tr>
      <w:tr>
        <w:tc>
          <w:tcPr>
            <w:tcW w:type="dxa" w:w="1770"/>
          </w:tcPr>
          <w:p>
            <w:r>
              <w:rPr>
                <w:rFonts w:ascii="微软雅黑" w:hAnsi="微软雅黑" w:eastAsia="微软雅黑"/>
                <w:sz w:val="19"/>
              </w:rPr>
              <w:t>统一审核标准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AI 与人工共用同一套三分类结论口径与决策阈值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统一审核标准页 / /api/ops/review/policy</w:t>
            </w:r>
          </w:p>
        </w:tc>
      </w:tr>
      <w:tr>
        <w:tc>
          <w:tcPr>
            <w:tcW w:type="dxa" w:w="1770"/>
          </w:tcPr>
          <w:p>
            <w:r>
              <w:rPr>
                <w:rFonts w:ascii="微软雅黑" w:hAnsi="微软雅黑" w:eastAsia="微软雅黑"/>
                <w:sz w:val="19"/>
              </w:rPr>
              <w:t>统一风险标签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三级风险标签（高/中/低）+ 统一处置动作口径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数据标准与标签规范第四章</w:t>
            </w:r>
          </w:p>
        </w:tc>
      </w:tr>
      <w:tr>
        <w:tc>
          <w:tcPr>
            <w:tcW w:type="dxa" w:w="1770"/>
          </w:tcPr>
          <w:p>
            <w:r>
              <w:rPr>
                <w:rFonts w:ascii="微软雅黑" w:hAnsi="微软雅黑" w:eastAsia="微软雅黑"/>
                <w:sz w:val="19"/>
              </w:rPr>
              <w:t>统一处置口径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pass/verify/manual/block 四档，按风险分区间唯一映射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异常监测与审核共用</w:t>
            </w:r>
          </w:p>
        </w:tc>
      </w:tr>
      <w:tr>
        <w:tc>
          <w:tcPr>
            <w:tcW w:type="dxa" w:w="1770"/>
          </w:tcPr>
          <w:p>
            <w:r>
              <w:rPr>
                <w:rFonts w:ascii="微软雅黑" w:hAnsi="微软雅黑" w:eastAsia="微软雅黑"/>
                <w:sz w:val="19"/>
              </w:rPr>
              <w:t>审核结果比对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混淆矩阵 + 一致率 + Cohen's Kappa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/api/ops/review/consistency</w:t>
            </w:r>
          </w:p>
        </w:tc>
      </w:tr>
      <w:tr>
        <w:tc>
          <w:tcPr>
            <w:tcW w:type="dxa" w:w="1770"/>
          </w:tcPr>
          <w:p>
            <w:r>
              <w:rPr>
                <w:rFonts w:ascii="微软雅黑" w:hAnsi="微软雅黑" w:eastAsia="微软雅黑"/>
                <w:sz w:val="19"/>
              </w:rPr>
              <w:t>差异分析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漏放（false negative）/ 误拦（false positive）分类归因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一致性评估页分歧卡</w:t>
            </w:r>
          </w:p>
        </w:tc>
      </w:tr>
      <w:tr>
        <w:tc>
          <w:tcPr>
            <w:tcW w:type="dxa" w:w="1770"/>
          </w:tcPr>
          <w:p>
            <w:r>
              <w:rPr>
                <w:rFonts w:ascii="微软雅黑" w:hAnsi="微软雅黑" w:eastAsia="微软雅黑"/>
                <w:sz w:val="19"/>
              </w:rPr>
              <w:t>低置信度转人工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置信度 &lt; 0.55 强制转人工，算法层固化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review.ai_review</w:t>
            </w:r>
          </w:p>
        </w:tc>
      </w:tr>
      <w:tr>
        <w:tc>
          <w:tcPr>
            <w:tcW w:type="dxa" w:w="1770"/>
          </w:tcPr>
          <w:p>
            <w:r>
              <w:rPr>
                <w:rFonts w:ascii="微软雅黑" w:hAnsi="微软雅黑" w:eastAsia="微软雅黑"/>
                <w:sz w:val="19"/>
              </w:rPr>
              <w:t>反馈回流与策略优化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差异样本 → 候选策略网格复盘 → 择优应用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/api/ops/review/optimize + /apply</w:t>
            </w:r>
          </w:p>
        </w:tc>
      </w:tr>
    </w:tbl>
    <w:p/>
    <w:p>
      <w:pPr>
        <w:pStyle w:val="Heading1"/>
      </w:pPr>
      <w:r>
        <w:t>二、协同审核闭环</w:t>
      </w:r>
    </w:p>
    <w:p>
      <w:pPr>
        <w:pStyle w:val="Heading2"/>
      </w:pPr>
      <w:r>
        <w:t>2.1 四段闭环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1"/>
        <w:gridCol w:w="1793"/>
        <w:gridCol w:w="3797"/>
        <w:gridCol w:w="2110"/>
      </w:tblGrid>
      <w:tr>
        <w:tc>
          <w:tcPr>
            <w:tcW w:type="dxa" w:w="137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79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执行主体</w:t>
            </w:r>
          </w:p>
        </w:tc>
        <w:tc>
          <w:tcPr>
            <w:tcW w:type="dxa" w:w="379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关键动作</w:t>
            </w:r>
          </w:p>
        </w:tc>
        <w:tc>
          <w:tcPr>
            <w:tcW w:type="dxa" w:w="211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产出物</w:t>
            </w:r>
          </w:p>
        </w:tc>
      </w:tr>
      <w:tr>
        <w:tc>
          <w:tcPr>
            <w:tcW w:type="dxa" w:w="1371"/>
          </w:tcPr>
          <w:p>
            <w:r>
              <w:rPr>
                <w:rFonts w:ascii="微软雅黑" w:hAnsi="微软雅黑" w:eastAsia="微软雅黑"/>
                <w:sz w:val="19"/>
              </w:rPr>
              <w:t>① AI 初审</w:t>
            </w:r>
          </w:p>
        </w:tc>
        <w:tc>
          <w:tcPr>
            <w:tcW w:type="dxa" w:w="1793"/>
          </w:tcPr>
          <w:p>
            <w:r>
              <w:rPr>
                <w:rFonts w:ascii="微软雅黑" w:hAnsi="微软雅黑" w:eastAsia="微软雅黑"/>
                <w:sz w:val="19"/>
              </w:rPr>
              <w:t>AI 评分模型</w:t>
            </w:r>
          </w:p>
        </w:tc>
        <w:tc>
          <w:tcPr>
            <w:tcW w:type="dxa" w:w="3797"/>
          </w:tcPr>
          <w:p>
            <w:r>
              <w:rPr>
                <w:rFonts w:ascii="微软雅黑" w:hAnsi="微软雅黑" w:eastAsia="微软雅黑"/>
                <w:sz w:val="19"/>
              </w:rPr>
              <w:t>规则加权评分 → 三分类结论 → 置信度估计 → 低置信度强制转人工</w:t>
            </w:r>
          </w:p>
        </w:tc>
        <w:tc>
          <w:tcPr>
            <w:tcW w:type="dxa" w:w="2110"/>
          </w:tcPr>
          <w:p>
            <w:r>
              <w:rPr>
                <w:rFonts w:ascii="微软雅黑" w:hAnsi="微软雅黑" w:eastAsia="微软雅黑"/>
                <w:sz w:val="19"/>
              </w:rPr>
              <w:t>结论 + 置信度 + 命中证据链</w:t>
            </w:r>
          </w:p>
        </w:tc>
      </w:tr>
      <w:tr>
        <w:tc>
          <w:tcPr>
            <w:tcW w:type="dxa" w:w="1371"/>
          </w:tcPr>
          <w:p>
            <w:r>
              <w:rPr>
                <w:rFonts w:ascii="微软雅黑" w:hAnsi="微软雅黑" w:eastAsia="微软雅黑"/>
                <w:sz w:val="19"/>
              </w:rPr>
              <w:t>② 人工复核</w:t>
            </w:r>
          </w:p>
        </w:tc>
        <w:tc>
          <w:tcPr>
            <w:tcW w:type="dxa" w:w="1793"/>
          </w:tcPr>
          <w:p>
            <w:r>
              <w:rPr>
                <w:rFonts w:ascii="微软雅黑" w:hAnsi="微软雅黑" w:eastAsia="微软雅黑"/>
                <w:sz w:val="19"/>
              </w:rPr>
              <w:t>合规审核员</w:t>
            </w:r>
          </w:p>
        </w:tc>
        <w:tc>
          <w:tcPr>
            <w:tcW w:type="dxa" w:w="3797"/>
          </w:tcPr>
          <w:p>
            <w:r>
              <w:rPr>
                <w:rFonts w:ascii="微软雅黑" w:hAnsi="微软雅黑" w:eastAsia="微软雅黑"/>
                <w:sz w:val="19"/>
              </w:rPr>
              <w:t>对转人工样本与高风险样本独立判断，填写审核意见</w:t>
            </w:r>
          </w:p>
        </w:tc>
        <w:tc>
          <w:tcPr>
            <w:tcW w:type="dxa" w:w="2110"/>
          </w:tcPr>
          <w:p>
            <w:r>
              <w:rPr>
                <w:rFonts w:ascii="微软雅黑" w:hAnsi="微软雅黑" w:eastAsia="微软雅黑"/>
                <w:sz w:val="19"/>
              </w:rPr>
              <w:t>人工结论 + 意见 + 复核耗时</w:t>
            </w:r>
          </w:p>
        </w:tc>
      </w:tr>
      <w:tr>
        <w:tc>
          <w:tcPr>
            <w:tcW w:type="dxa" w:w="1371"/>
          </w:tcPr>
          <w:p>
            <w:r>
              <w:rPr>
                <w:rFonts w:ascii="微软雅黑" w:hAnsi="微软雅黑" w:eastAsia="微软雅黑"/>
                <w:sz w:val="19"/>
              </w:rPr>
              <w:t>③ 差异回流</w:t>
            </w:r>
          </w:p>
        </w:tc>
        <w:tc>
          <w:tcPr>
            <w:tcW w:type="dxa" w:w="1793"/>
          </w:tcPr>
          <w:p>
            <w:r>
              <w:rPr>
                <w:rFonts w:ascii="微软雅黑" w:hAnsi="微软雅黑" w:eastAsia="微软雅黑"/>
                <w:sz w:val="19"/>
              </w:rPr>
              <w:t>系统 + 风控策略岗</w:t>
            </w:r>
          </w:p>
        </w:tc>
        <w:tc>
          <w:tcPr>
            <w:tcW w:type="dxa" w:w="3797"/>
          </w:tcPr>
          <w:p>
            <w:r>
              <w:rPr>
                <w:rFonts w:ascii="微软雅黑" w:hAnsi="微软雅黑" w:eastAsia="微软雅黑"/>
                <w:sz w:val="19"/>
              </w:rPr>
              <w:t>逐笔比对结论，标记漏放/误拦；对分歧样本归因分析</w:t>
            </w:r>
          </w:p>
        </w:tc>
        <w:tc>
          <w:tcPr>
            <w:tcW w:type="dxa" w:w="2110"/>
          </w:tcPr>
          <w:p>
            <w:r>
              <w:rPr>
                <w:rFonts w:ascii="微软雅黑" w:hAnsi="微软雅黑" w:eastAsia="微软雅黑"/>
                <w:sz w:val="19"/>
              </w:rPr>
              <w:t>分歧清单 + 归因 + 优化建议</w:t>
            </w:r>
          </w:p>
        </w:tc>
      </w:tr>
      <w:tr>
        <w:tc>
          <w:tcPr>
            <w:tcW w:type="dxa" w:w="1371"/>
          </w:tcPr>
          <w:p>
            <w:r>
              <w:rPr>
                <w:rFonts w:ascii="微软雅黑" w:hAnsi="微软雅黑" w:eastAsia="微软雅黑"/>
                <w:sz w:val="19"/>
              </w:rPr>
              <w:t>④ 持续优化</w:t>
            </w:r>
          </w:p>
        </w:tc>
        <w:tc>
          <w:tcPr>
            <w:tcW w:type="dxa" w:w="1793"/>
          </w:tcPr>
          <w:p>
            <w:r>
              <w:rPr>
                <w:rFonts w:ascii="微软雅黑" w:hAnsi="微软雅黑" w:eastAsia="微软雅黑"/>
                <w:sz w:val="19"/>
              </w:rPr>
              <w:t>风控策略岗</w:t>
            </w:r>
          </w:p>
        </w:tc>
        <w:tc>
          <w:tcPr>
            <w:tcW w:type="dxa" w:w="3797"/>
          </w:tcPr>
          <w:p>
            <w:r>
              <w:rPr>
                <w:rFonts w:ascii="微软雅黑" w:hAnsi="微软雅黑" w:eastAsia="微软雅黑"/>
                <w:sz w:val="19"/>
              </w:rPr>
              <w:t>候选策略网格复盘 → 择优应用 → 下一批次使用新策略</w:t>
            </w:r>
          </w:p>
        </w:tc>
        <w:tc>
          <w:tcPr>
            <w:tcW w:type="dxa" w:w="2110"/>
          </w:tcPr>
          <w:p>
            <w:r>
              <w:rPr>
                <w:rFonts w:ascii="微软雅黑" w:hAnsi="微软雅黑" w:eastAsia="微软雅黑"/>
                <w:sz w:val="19"/>
              </w:rPr>
              <w:t>优化记录 + 优化前后指标对比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闭环的关键设计：每笔审核的**原始特征向量入库**，因此策略复盘可以在同一批历史样本上重放，优化前后的指标严格可比 —— 这是「持续优化」能够被量化证明的前提。</w:t>
      </w:r>
    </w:p>
    <w:p>
      <w:pPr>
        <w:pStyle w:val="Heading2"/>
      </w:pPr>
      <w:r>
        <w:t>2.2 一致性评估口径</w:t>
      </w:r>
    </w:p>
    <w:p>
      <w:r>
        <w:rPr>
          <w:rFonts w:ascii="微软雅黑" w:hAnsi="微软雅黑" w:eastAsia="微软雅黑"/>
          <w:b w:val="0"/>
        </w:rPr>
        <w:t>为避免把「AI 转人工」这一协同行为误算为分歧，平台对样本分类统计：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3650"/>
        <w:gridCol w:w="2987"/>
      </w:tblGrid>
      <w:tr>
        <w:tc>
          <w:tcPr>
            <w:tcW w:type="dxa" w:w="24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65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计算口径</w:t>
            </w:r>
          </w:p>
        </w:tc>
        <w:tc>
          <w:tcPr>
            <w:tcW w:type="dxa" w:w="29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管理含义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核心一致性 agreementRate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AI 自主决策样本（approve/reject）中与人工结论一致的比例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衡量 AI 判断质量的核心指标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总体协同率 overallAlignmentRate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（AI 自主决策一致 + 转人工）÷ 全部样本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衡量「人机协同」整体是否闭环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自动化率 automationRate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AI 自主决策样本 ÷ 全部样本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衡量人力节省程度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转人工率 manualTransferRate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转人工样本 ÷ 全部样本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人工工作量与风险兜底强度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Cohen's Kappa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（观测一致率 − 期望一致率）÷（1 − 期望一致率）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排除随机一致后的真实一致性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漏放 falseNegative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AI 通过但人工拒绝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合规风险，优先级最高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误拦 falsePositive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AI 拒绝但人工通过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客户体验损失与商机损失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分层一致性 byRiskLevel / byConfidence</w:t>
            </w:r>
          </w:p>
        </w:tc>
        <w:tc>
          <w:tcPr>
            <w:tcW w:type="dxa" w:w="3650"/>
          </w:tcPr>
          <w:p>
            <w:r>
              <w:rPr>
                <w:rFonts w:ascii="微软雅黑" w:hAnsi="微软雅黑" w:eastAsia="微软雅黑"/>
                <w:sz w:val="19"/>
              </w:rPr>
              <w:t>按风险等级、按置信度区间分别统计一致率</w:t>
            </w:r>
          </w:p>
        </w:tc>
        <w:tc>
          <w:tcPr>
            <w:tcW w:type="dxa" w:w="2987"/>
          </w:tcPr>
          <w:p>
            <w:r>
              <w:rPr>
                <w:rFonts w:ascii="微软雅黑" w:hAnsi="微软雅黑" w:eastAsia="微软雅黑"/>
                <w:sz w:val="19"/>
              </w:rPr>
              <w:t>定位需要人工把关的样本区间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实测规律：置信度区间 0.00~0.60 的一致率最低，验证了「低置信度必须转人工」策略的有效性，该区间也是转人工策略的重点覆盖区域。</w:t>
      </w:r>
    </w:p>
    <w:p>
      <w:pPr>
        <w:pStyle w:val="Heading1"/>
      </w:pPr>
      <w:r>
        <w:t>三、策略寻优算法</w:t>
      </w:r>
    </w:p>
    <w:p>
      <w:pPr>
        <w:pStyle w:val="Heading2"/>
      </w:pPr>
      <w:r>
        <w:t>3.1 优化目标与硬约束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综合得分 = 0.6 × 一致性 + 0.25 × 自动化率 − 1.0 × 漏放率</w:t>
        <w:br/>
        <w:t>硬约束①：候选策略的漏放率不得高于当前策略</w:t>
        <w:br/>
        <w:t>硬约束②：候选策略的一致性不得低于当前策略的 98%</w:t>
        <w:br/>
        <w:t>（漏放率权重最高，体现「宁可转人工，不可放过风险」的跨境合规底线）</w:t>
      </w:r>
    </w:p>
    <w:p>
      <w:pPr>
        <w:pStyle w:val="Heading2"/>
      </w:pPr>
      <w:r>
        <w:t>3.2 搜索方法</w:t>
      </w:r>
    </w:p>
    <w:p>
      <w:r>
        <w:rPr>
          <w:rFonts w:ascii="微软雅黑" w:hAnsi="微软雅黑" w:eastAsia="微软雅黑"/>
          <w:b w:val="0"/>
        </w:rPr>
        <w:t>对「通过阈值 × 置信度门槛」二维候选网格（5 × 4 = 20 组，排除当前策略）逐组复盘：每组用同一批真实样本重放 AI 初审，得到该策略下的一致性、自动化率与漏放率，过滤不满足硬约束的候选后取综合得分最高者；若最优候选得分不高于当前策略，则明确返回「维持现状」而不是为改而改。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3208"/>
        <w:gridCol w:w="3429"/>
      </w:tblGrid>
      <w:tr>
        <w:tc>
          <w:tcPr>
            <w:tcW w:type="dxa" w:w="24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可调参数</w:t>
            </w:r>
          </w:p>
        </w:tc>
        <w:tc>
          <w:tcPr>
            <w:tcW w:type="dxa" w:w="320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候选取值</w:t>
            </w:r>
          </w:p>
        </w:tc>
        <w:tc>
          <w:tcPr>
            <w:tcW w:type="dxa" w:w="342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通过阈值 approveThreshold</w:t>
            </w:r>
          </w:p>
        </w:tc>
        <w:tc>
          <w:tcPr>
            <w:tcW w:type="dxa" w:w="3208"/>
          </w:tcPr>
          <w:p>
            <w:r>
              <w:rPr>
                <w:rFonts w:ascii="微软雅黑" w:hAnsi="微软雅黑" w:eastAsia="微软雅黑"/>
                <w:sz w:val="19"/>
              </w:rPr>
              <w:t>0.25 / 0.30 / 0.35 / 0.40 / 0.45</w:t>
            </w:r>
          </w:p>
        </w:tc>
        <w:tc>
          <w:tcPr>
            <w:tcW w:type="dxa" w:w="3429"/>
          </w:tcPr>
          <w:p>
            <w:r>
              <w:rPr>
                <w:rFonts w:ascii="微软雅黑" w:hAnsi="微软雅黑" w:eastAsia="微软雅黑"/>
                <w:sz w:val="19"/>
              </w:rPr>
              <w:t>越高越宽松（自动化率高、漏放风险升）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置信度门槛 confidenceFloor</w:t>
            </w:r>
          </w:p>
        </w:tc>
        <w:tc>
          <w:tcPr>
            <w:tcW w:type="dxa" w:w="3208"/>
          </w:tcPr>
          <w:p>
            <w:r>
              <w:rPr>
                <w:rFonts w:ascii="微软雅黑" w:hAnsi="微软雅黑" w:eastAsia="微软雅黑"/>
                <w:sz w:val="19"/>
              </w:rPr>
              <w:t>0.45 / 0.50 / 0.55 / 0.60</w:t>
            </w:r>
          </w:p>
        </w:tc>
        <w:tc>
          <w:tcPr>
            <w:tcW w:type="dxa" w:w="3429"/>
          </w:tcPr>
          <w:p>
            <w:r>
              <w:rPr>
                <w:rFonts w:ascii="微软雅黑" w:hAnsi="微软雅黑" w:eastAsia="微软雅黑"/>
                <w:sz w:val="19"/>
              </w:rPr>
              <w:t>越低越激进（自动化率高、一致性略降）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拒绝阈值 rejectThreshold</w:t>
            </w:r>
          </w:p>
        </w:tc>
        <w:tc>
          <w:tcPr>
            <w:tcW w:type="dxa" w:w="3208"/>
          </w:tcPr>
          <w:p>
            <w:r>
              <w:rPr>
                <w:rFonts w:ascii="微软雅黑" w:hAnsi="微软雅黑" w:eastAsia="微软雅黑"/>
                <w:sz w:val="19"/>
              </w:rPr>
              <w:t>0.72（当前保持）</w:t>
            </w:r>
          </w:p>
        </w:tc>
        <w:tc>
          <w:tcPr>
            <w:tcW w:type="dxa" w:w="3429"/>
          </w:tcPr>
          <w:p>
            <w:r>
              <w:rPr>
                <w:rFonts w:ascii="微软雅黑" w:hAnsi="微软雅黑" w:eastAsia="微软雅黑"/>
                <w:sz w:val="19"/>
              </w:rPr>
              <w:t>控制误拦与高危拦截的平衡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规则权重 ruleWeights</w:t>
            </w:r>
          </w:p>
        </w:tc>
        <w:tc>
          <w:tcPr>
            <w:tcW w:type="dxa" w:w="3208"/>
          </w:tcPr>
          <w:p>
            <w:r>
              <w:rPr>
                <w:rFonts w:ascii="微软雅黑" w:hAnsi="微软雅黑" w:eastAsia="微软雅黑"/>
                <w:sz w:val="19"/>
              </w:rPr>
              <w:t>7 项（按分歧类型定向调整）</w:t>
            </w:r>
          </w:p>
        </w:tc>
        <w:tc>
          <w:tcPr>
            <w:tcW w:type="dxa" w:w="3429"/>
          </w:tcPr>
          <w:p>
            <w:r>
              <w:rPr>
                <w:rFonts w:ascii="微软雅黑" w:hAnsi="微软雅黑" w:eastAsia="微软雅黑"/>
                <w:sz w:val="19"/>
              </w:rPr>
              <w:t>针对漏放提高身份核验、拆分交易权重</w:t>
            </w:r>
          </w:p>
        </w:tc>
      </w:tr>
    </w:tbl>
    <w:p/>
    <w:p>
      <w:pPr>
        <w:pStyle w:val="Heading1"/>
      </w:pPr>
      <w:r>
        <w:t>四、实测效果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3319"/>
        <w:gridCol w:w="3319"/>
      </w:tblGrid>
      <w:tr>
        <w:tc>
          <w:tcPr>
            <w:tcW w:type="dxa" w:w="24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1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实测值</w:t>
            </w:r>
          </w:p>
        </w:tc>
        <w:tc>
          <w:tcPr>
            <w:tcW w:type="dxa" w:w="331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审核样本量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180 笔（演示库累计）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真实交易抽样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核心一致性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96.0%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AI 自主决策样本与人工结论一致率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Cohen's Kappa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0.907（几乎完全一致）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排除随机一致后的真实一致性水平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自动化率 / 转人工率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62.5% / 37.5%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约六成样本无需人工介入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漏放 / 误拦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0 笔 / 0 笔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本期无实质性分歧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效率对比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AI 初审平均 92ms vs 人工复核平均 142s（提速约 1500 倍）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审核时效从分钟级降至毫秒级</w:t>
            </w:r>
          </w:p>
        </w:tc>
      </w:tr>
      <w:tr>
        <w:tc>
          <w:tcPr>
            <w:tcW w:type="dxa" w:w="2434"/>
          </w:tcPr>
          <w:p>
            <w:r>
              <w:rPr>
                <w:rFonts w:ascii="微软雅黑" w:hAnsi="微软雅黑" w:eastAsia="微软雅黑"/>
                <w:sz w:val="19"/>
              </w:rPr>
              <w:t>策略优化记录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已生成并留存优化记录，支持一键应用</w:t>
            </w:r>
          </w:p>
        </w:tc>
        <w:tc>
          <w:tcPr>
            <w:tcW w:type="dxa" w:w="3319"/>
          </w:tcPr>
          <w:p>
            <w:r>
              <w:rPr>
                <w:rFonts w:ascii="微软雅黑" w:hAnsi="微软雅黑" w:eastAsia="微软雅黑"/>
                <w:sz w:val="19"/>
              </w:rPr>
              <w:t>差异回流闭环可追溯</w:t>
            </w:r>
          </w:p>
        </w:tc>
      </w:tr>
    </w:tbl>
    <w:p/>
    <w:p>
      <w:pPr>
        <w:pStyle w:val="Heading1"/>
      </w:pPr>
      <w:r>
        <w:t>五、运营保障机制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抽样复核：即使 AI 高置信度通过，仍按比例抽样人工复核，防止模型漂移；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差异升级：漏放类分歧自动通知全球合规负责人，并按分级响应时效（30 分钟 / 8 小时 / 24 小时）处置；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口径冻结：审核口径与风险标签变更需经合规负责人审批，避免口径漂移导致历史数据不可比；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证据留痕：每笔审核的结论、置信度、命中证据、人工意见与差异标记全部写入审计日志并上链存证，满足监管调证；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策略回滚：优化策略可回滚（优化记录保留优化前配置），异常时可快速恢复。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