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测试方案与测试报告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任务清单（9）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</w:tbl>
    <w:p/>
    <w:p>
      <w:pPr>
        <w:pStyle w:val="Heading1"/>
      </w:pPr>
      <w:r>
        <w:t>一、测试目标与范围</w:t>
      </w:r>
    </w:p>
    <w:p>
      <w:r>
        <w:rPr>
          <w:rFonts w:ascii="微软雅黑" w:hAnsi="微软雅黑" w:eastAsia="微软雅黑"/>
          <w:b w:val="0"/>
        </w:rPr>
        <w:t>验证平台是否满足赛题五大建设范围的功能要求与关键技术指标，覆盖：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功能正确性：支付智能处理、智能风控监测、智能合规审核、AI 审核一致性管理、运营决策支撑；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算法正确性：国密 SM4、Paillier 同态加密、差分隐私、隐私求交、联邦学习指标；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接口契约一致性：前端调用与后端路由一一对应（115 条路由 / 106 处前端调用）；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性能指标：匿踪查询 ≤300ms、联合统计误差 ≤1%、联邦 AUC 偏差 ≤0.02、漏检率 ≤7%；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安全与合规：鉴权边界（401/403）、JWT 黑名单、链完整性校验与篡改检出。</w:t>
      </w:r>
    </w:p>
    <w:p>
      <w:pPr>
        <w:pStyle w:val="Heading1"/>
      </w:pPr>
      <w:r>
        <w:t>二、测试方法与工具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6"/>
        <w:gridCol w:w="4379"/>
        <w:gridCol w:w="2398"/>
        <w:gridCol w:w="938"/>
      </w:tblGrid>
      <w:tr>
        <w:tc>
          <w:tcPr>
            <w:tcW w:type="dxa" w:w="135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37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39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工具/命令</w:t>
            </w:r>
          </w:p>
        </w:tc>
        <w:tc>
          <w:tcPr>
            <w:tcW w:type="dxa" w:w="93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用例数</w:t>
            </w:r>
          </w:p>
        </w:tc>
      </w:tr>
      <w:tr>
        <w:tc>
          <w:tcPr>
            <w:tcW w:type="dxa" w:w="1356"/>
          </w:tcPr>
          <w:p>
            <w:r>
              <w:rPr>
                <w:rFonts w:ascii="微软雅黑" w:hAnsi="微软雅黑" w:eastAsia="微软雅黑"/>
                <w:sz w:val="19"/>
              </w:rPr>
              <w:t>静态检查</w:t>
            </w:r>
          </w:p>
        </w:tc>
        <w:tc>
          <w:tcPr>
            <w:tcW w:type="dxa" w:w="4379"/>
          </w:tcPr>
          <w:p>
            <w:r>
              <w:rPr>
                <w:rFonts w:ascii="微软雅黑" w:hAnsi="微软雅黑" w:eastAsia="微软雅黑"/>
                <w:sz w:val="19"/>
              </w:rPr>
              <w:t>Python 语法解析、Vue/JS 语法检查、模板标签配对、接口契约双向比对、别名导入、API 方法完备性</w:t>
            </w:r>
          </w:p>
        </w:tc>
        <w:tc>
          <w:tcPr>
            <w:tcW w:type="dxa" w:w="2398"/>
          </w:tcPr>
          <w:p>
            <w:r>
              <w:rPr>
                <w:rFonts w:ascii="微软雅黑" w:hAnsi="微软雅黑" w:eastAsia="微软雅黑"/>
                <w:sz w:val="19"/>
              </w:rPr>
              <w:t>python _mycheck/check_project.py all</w:t>
            </w:r>
          </w:p>
        </w:tc>
        <w:tc>
          <w:tcPr>
            <w:tcW w:type="dxa" w:w="938"/>
          </w:tcPr>
          <w:p>
            <w:r>
              <w:rPr>
                <w:rFonts w:ascii="微软雅黑" w:hAnsi="微软雅黑" w:eastAsia="微软雅黑"/>
                <w:sz w:val="19"/>
              </w:rPr>
              <w:t>7 类检查</w:t>
            </w:r>
          </w:p>
        </w:tc>
      </w:tr>
      <w:tr>
        <w:tc>
          <w:tcPr>
            <w:tcW w:type="dxa" w:w="1356"/>
          </w:tcPr>
          <w:p>
            <w:r>
              <w:rPr>
                <w:rFonts w:ascii="微软雅黑" w:hAnsi="微软雅黑" w:eastAsia="微软雅黑"/>
                <w:sz w:val="19"/>
              </w:rPr>
              <w:t>编译验证</w:t>
            </w:r>
          </w:p>
        </w:tc>
        <w:tc>
          <w:tcPr>
            <w:tcW w:type="dxa" w:w="4379"/>
          </w:tcPr>
          <w:p>
            <w:r>
              <w:rPr>
                <w:rFonts w:ascii="微软雅黑" w:hAnsi="微软雅黑" w:eastAsia="微软雅黑"/>
                <w:sz w:val="19"/>
              </w:rPr>
              <w:t>使用项目自带 @vue/compiler-sfc 对全部单文件组件做 parse + compileScript + compileTemplate</w:t>
            </w:r>
          </w:p>
        </w:tc>
        <w:tc>
          <w:tcPr>
            <w:tcW w:type="dxa" w:w="2398"/>
          </w:tcPr>
          <w:p>
            <w:r>
              <w:rPr>
                <w:rFonts w:ascii="微软雅黑" w:hAnsi="微软雅黑" w:eastAsia="微软雅黑"/>
                <w:sz w:val="19"/>
              </w:rPr>
              <w:t>node（compiler-sfc 3.5.43）</w:t>
            </w:r>
          </w:p>
        </w:tc>
        <w:tc>
          <w:tcPr>
            <w:tcW w:type="dxa" w:w="938"/>
          </w:tcPr>
          <w:p>
            <w:r>
              <w:rPr>
                <w:rFonts w:ascii="微软雅黑" w:hAnsi="微软雅黑" w:eastAsia="微软雅黑"/>
                <w:sz w:val="19"/>
              </w:rPr>
              <w:t>37 个 .vue</w:t>
            </w:r>
          </w:p>
        </w:tc>
      </w:tr>
      <w:tr>
        <w:tc>
          <w:tcPr>
            <w:tcW w:type="dxa" w:w="1356"/>
          </w:tcPr>
          <w:p>
            <w:r>
              <w:rPr>
                <w:rFonts w:ascii="微软雅黑" w:hAnsi="微软雅黑" w:eastAsia="微软雅黑"/>
                <w:sz w:val="19"/>
              </w:rPr>
              <w:t>单元测试</w:t>
            </w:r>
          </w:p>
        </w:tc>
        <w:tc>
          <w:tcPr>
            <w:tcW w:type="dxa" w:w="4379"/>
          </w:tcPr>
          <w:p>
            <w:r>
              <w:rPr>
                <w:rFonts w:ascii="微软雅黑" w:hAnsi="微软雅黑" w:eastAsia="微软雅黑"/>
                <w:sz w:val="19"/>
              </w:rPr>
              <w:t>算法与规则引擎断言（含国标测试向量、指标阈值守卫）</w:t>
            </w:r>
          </w:p>
        </w:tc>
        <w:tc>
          <w:tcPr>
            <w:tcW w:type="dxa" w:w="2398"/>
          </w:tcPr>
          <w:p>
            <w:r>
              <w:rPr>
                <w:rFonts w:ascii="微软雅黑" w:hAnsi="微软雅黑" w:eastAsia="微软雅黑"/>
                <w:sz w:val="19"/>
              </w:rPr>
              <w:t>python -m unittest discover -s backend/tests</w:t>
            </w:r>
          </w:p>
        </w:tc>
        <w:tc>
          <w:tcPr>
            <w:tcW w:type="dxa" w:w="938"/>
          </w:tcPr>
          <w:p>
            <w:r>
              <w:rPr>
                <w:rFonts w:ascii="微软雅黑" w:hAnsi="微软雅黑" w:eastAsia="微软雅黑"/>
                <w:sz w:val="19"/>
              </w:rPr>
              <w:t>14 项</w:t>
            </w:r>
          </w:p>
        </w:tc>
      </w:tr>
      <w:tr>
        <w:tc>
          <w:tcPr>
            <w:tcW w:type="dxa" w:w="1356"/>
          </w:tcPr>
          <w:p>
            <w:r>
              <w:rPr>
                <w:rFonts w:ascii="微软雅黑" w:hAnsi="微软雅黑" w:eastAsia="微软雅黑"/>
                <w:sz w:val="19"/>
              </w:rPr>
              <w:t>接口/端到端测试</w:t>
            </w:r>
          </w:p>
        </w:tc>
        <w:tc>
          <w:tcPr>
            <w:tcW w:type="dxa" w:w="4379"/>
          </w:tcPr>
          <w:p>
            <w:r>
              <w:rPr>
                <w:rFonts w:ascii="微软雅黑" w:hAnsi="微软雅黑" w:eastAsia="微软雅黑"/>
                <w:sz w:val="19"/>
              </w:rPr>
              <w:t>Flask 测试客户端全链路调用（真实 SQLAlchemy + SQLite），覆盖 12 个分组</w:t>
            </w:r>
          </w:p>
        </w:tc>
        <w:tc>
          <w:tcPr>
            <w:tcW w:type="dxa" w:w="2398"/>
          </w:tcPr>
          <w:p>
            <w:r>
              <w:rPr>
                <w:rFonts w:ascii="微软雅黑" w:hAnsi="微软雅黑" w:eastAsia="微软雅黑"/>
                <w:sz w:val="19"/>
              </w:rPr>
              <w:t>python _mycheck/e2e_backend.py</w:t>
            </w:r>
          </w:p>
        </w:tc>
        <w:tc>
          <w:tcPr>
            <w:tcW w:type="dxa" w:w="938"/>
          </w:tcPr>
          <w:p>
            <w:r>
              <w:rPr>
                <w:rFonts w:ascii="微软雅黑" w:hAnsi="微软雅黑" w:eastAsia="微软雅黑"/>
                <w:sz w:val="19"/>
              </w:rPr>
              <w:t>113 项</w:t>
            </w:r>
          </w:p>
        </w:tc>
      </w:tr>
      <w:tr>
        <w:tc>
          <w:tcPr>
            <w:tcW w:type="dxa" w:w="1356"/>
          </w:tcPr>
          <w:p>
            <w:r>
              <w:rPr>
                <w:rFonts w:ascii="微软雅黑" w:hAnsi="微软雅黑" w:eastAsia="微软雅黑"/>
                <w:sz w:val="19"/>
              </w:rPr>
              <w:t>真实服务验证</w:t>
            </w:r>
          </w:p>
        </w:tc>
        <w:tc>
          <w:tcPr>
            <w:tcW w:type="dxa" w:w="4379"/>
          </w:tcPr>
          <w:p>
            <w:r>
              <w:rPr>
                <w:rFonts w:ascii="微软雅黑" w:hAnsi="微软雅黑" w:eastAsia="微软雅黑"/>
                <w:sz w:val="19"/>
              </w:rPr>
              <w:t>启动开发服务器并以真实 HTTP 请求验证登录与核心接口</w:t>
            </w:r>
          </w:p>
        </w:tc>
        <w:tc>
          <w:tcPr>
            <w:tcW w:type="dxa" w:w="2398"/>
          </w:tcPr>
          <w:p>
            <w:r>
              <w:rPr>
                <w:rFonts w:ascii="微软雅黑" w:hAnsi="微软雅黑" w:eastAsia="微软雅黑"/>
                <w:sz w:val="19"/>
              </w:rPr>
              <w:t>python run.py + HTTP 请求</w:t>
            </w:r>
          </w:p>
        </w:tc>
        <w:tc>
          <w:tcPr>
            <w:tcW w:type="dxa" w:w="938"/>
          </w:tcPr>
          <w:p>
            <w:r>
              <w:rPr>
                <w:rFonts w:ascii="微软雅黑" w:hAnsi="微软雅黑" w:eastAsia="微软雅黑"/>
                <w:sz w:val="19"/>
              </w:rPr>
              <w:t>6 个接口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测试环境：Windows + Python 3.12.10 + Node 24.21 + Flask 3.0.3 + SQLAlchemy 2.0.32 + PyJWT 2.9.0 + pycryptodome 3.20.0 + numpy 1.26.4；数据库 SQLite；端到端测试使用独立临时库，可重复执行。</w:t>
      </w:r>
    </w:p>
    <w:p>
      <w:pPr>
        <w:pStyle w:val="Heading1"/>
      </w:pPr>
      <w:r>
        <w:t>三、测试用例与结果</w:t>
      </w:r>
    </w:p>
    <w:p>
      <w:pPr>
        <w:pStyle w:val="Heading2"/>
      </w:pPr>
      <w:r>
        <w:t>3.1 端到端用例分组（113 项，全部通过）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6"/>
        <w:gridCol w:w="874"/>
        <w:gridCol w:w="5136"/>
        <w:gridCol w:w="874"/>
      </w:tblGrid>
      <w:tr>
        <w:tc>
          <w:tcPr>
            <w:tcW w:type="dxa" w:w="218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8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513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覆盖内容</w:t>
            </w:r>
          </w:p>
        </w:tc>
        <w:tc>
          <w:tcPr>
            <w:tcW w:type="dxa" w:w="8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1. 健康检查与登录鉴权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健康检查、401 边界、错误口令拒绝、登录签发 JWT、商户登录、权限点返回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2. 元数据与控制台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节点/数据集分级/法规库 ≥180 条/算法模板/统计卡片/功能入口/趋势/效能对照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3. 任务全生命周期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创建、启动（真实联邦训练 4.0s，AUC 0.8488）、结果、日志、脱敏预览、CSV 导出、分页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4. 三大业务场景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匿踪查询命中与未命中、Paillier 模式、联合统计、误差率、隐私求交、智能分级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5. 合规校验与报告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P1 阻断与整改清单、合规放行、规则列表、报告生成/预览/编号回填/下载、趋势、预警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6. 数据授权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授权列表、新建、P1 双人复核、审批生效、超期拒绝、风险预警、CSV 导出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7. 隐私预算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概览、明细、趋势、内部调整、超限拦截、消耗、5001 预算不足防护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8. 数据血缘与溯源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图谱、筛选、节点双向追溯、溯源时间线、链路记录落链、报告下载、审计分页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9. 联盟链存证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日志检索、区块列表、链完整性校验、存证统计、**篡改检出**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10. AI 风控大脑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17 脑区三层结构、实时负载与指标、数据通路端点有效、KPI、坐标系、静态图谱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11. 五大建设范围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23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智能路由与合规前置排除、批量支付与重试补偿、异常检测与组合加成、自动处置、AI 初审批次、一致性指标、口径正确性、效率对比、策略寻优、决策建议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12. 权限边界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5136"/>
          </w:tcPr>
          <w:p>
            <w:r>
              <w:rPr>
                <w:rFonts w:ascii="微软雅黑" w:hAnsi="微软雅黑" w:eastAsia="微软雅黑"/>
                <w:sz w:val="19"/>
              </w:rPr>
              <w:t>商户越权 403、预算越权 403、商户可匿踪查询、登出、**黑名单令牌 401**</w:t>
            </w:r>
          </w:p>
        </w:tc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</w:tbl>
    <w:p/>
    <w:p>
      <w:pPr>
        <w:pStyle w:val="Heading2"/>
      </w:pPr>
      <w:r>
        <w:t>3.2 单元测试用例（14 项，全部通过）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1"/>
        <w:gridCol w:w="2186"/>
        <w:gridCol w:w="3279"/>
        <w:gridCol w:w="765"/>
      </w:tblGrid>
      <w:tr>
        <w:tc>
          <w:tcPr>
            <w:tcW w:type="dxa" w:w="28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218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验证内容</w:t>
            </w:r>
          </w:p>
        </w:tc>
        <w:tc>
          <w:tcPr>
            <w:tcW w:type="dxa" w:w="327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关键断言</w:t>
            </w:r>
          </w:p>
        </w:tc>
        <w:tc>
          <w:tcPr>
            <w:tcW w:type="dxa" w:w="76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test_sm4_standard_vectors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国密 SM4 标准测试向量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向量一 681edf34…、向量二（百万次加密）595298c7…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test_sm4_cbc_roundtrip_and_tamper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SM4-CBC 加解密与完整性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往返一致；篡改密文触发 HMAC 校验失败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test_paillier_homomorphic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Paillier 同态性质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密文加法、明文标量乘、加零还原；CRT 与直接解密一致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test_psi_intersection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隐私求交集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交集准确且不泄露交集外元素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test_differential_privacy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差分隐私与预算会计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预算消耗与超支拒绝、动态分配（P1&gt;P3）、ε=2 精度损失 ≈7%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test_graded_encryption_policy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分级加密策略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P1 往返一致、P2 加噪生效、向量保护可还原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test_oblivious_query_both_modes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匿踪查询双模式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OPRF 与 Paillier 均正确命中/未命中，零明文暴露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test_joint_statistics_accuracy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联合统计精度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误差率 ≤1%，密文域求和有效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test_federated_learning_quality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联邦学习质量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AUC ≥0.80、漏检率 ≤7%、相对本地增益 &gt;0.05、AUC 偏差 ≤0.02、压缩 &gt;40%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test_classifier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智能分级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身份证/银行卡 → P1，金额 → P2，类别 → P3，平均置信度 ≥0.9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test_rule_engine_blocks_illegal_transfer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规则引擎阻断语义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P1 未授权出境判定 blocked 并生成整改清单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test_rule_engine_allows_compliant_transfer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规则引擎放行语义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要件齐备时判定 passed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test_regulation_retention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法规库留存年限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GDPR 7 年 / PIPL 5 年；条目 ≥180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2841"/>
          </w:tcPr>
          <w:p>
            <w:r>
              <w:rPr>
                <w:rFonts w:ascii="微软雅黑" w:hAnsi="微软雅黑" w:eastAsia="微软雅黑"/>
                <w:sz w:val="19"/>
              </w:rPr>
              <w:t>test_chain_hash_and_tamper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链式哈希</w:t>
            </w:r>
          </w:p>
        </w:tc>
        <w:tc>
          <w:tcPr>
            <w:tcW w:type="dxa" w:w="3279"/>
          </w:tcPr>
          <w:p>
            <w:r>
              <w:rPr>
                <w:rFonts w:ascii="微软雅黑" w:hAnsi="微软雅黑" w:eastAsia="微软雅黑"/>
                <w:sz w:val="19"/>
              </w:rPr>
              <w:t>哈希长度 64、前后区块不同、篡改后哈希变化</w:t>
            </w:r>
          </w:p>
        </w:tc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</w:tbl>
    <w:p/>
    <w:p>
      <w:pPr>
        <w:pStyle w:val="Heading2"/>
      </w:pPr>
      <w:r>
        <w:t>3.3 关键指标实测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4"/>
        <w:gridCol w:w="2404"/>
        <w:gridCol w:w="1421"/>
        <w:gridCol w:w="2732"/>
        <w:gridCol w:w="1640"/>
      </w:tblGrid>
      <w:tr>
        <w:tc>
          <w:tcPr>
            <w:tcW w:type="dxa" w:w="8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40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指标项</w:t>
            </w:r>
          </w:p>
        </w:tc>
        <w:tc>
          <w:tcPr>
            <w:tcW w:type="dxa" w:w="142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273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164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P-01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匿踪查询响应时间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≤ 300 ms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5.29 ms（索引预热后）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P-02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联合统计误差率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≤ 1%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0.038%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P-03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联邦模型 AUC 与明文偏差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≤ 0.02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0.0062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P-04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联邦模型漏检率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≤ 7%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6.98%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P-05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AI 审核核心一致性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≥ 95%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96.0%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P-06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Cohen's Kappa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≥ 0.75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0.907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P-07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参数传输量压缩率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约 70%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64.29%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同量级（演示模型 21 维）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P-08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支付处理成功率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81.6%（含故障演练注入 20%）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P-09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异常检测预警量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1500 笔扫描 → 120 条（高危 16）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874"/>
          </w:tcPr>
          <w:p>
            <w:r>
              <w:rPr>
                <w:rFonts w:ascii="微软雅黑" w:hAnsi="微软雅黑" w:eastAsia="微软雅黑"/>
                <w:sz w:val="19"/>
              </w:rPr>
              <w:t>P-10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链完整性校验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篡改可检出</w:t>
            </w:r>
          </w:p>
        </w:tc>
        <w:tc>
          <w:tcPr>
            <w:tcW w:type="dxa" w:w="2732"/>
          </w:tcPr>
          <w:p>
            <w:r>
              <w:rPr>
                <w:rFonts w:ascii="微软雅黑" w:hAnsi="微软雅黑" w:eastAsia="微软雅黑"/>
                <w:sz w:val="19"/>
              </w:rPr>
              <w:t>篡改区块后定位到断裂高度</w:t>
            </w:r>
          </w:p>
        </w:tc>
        <w:tc>
          <w:tcPr>
            <w:tcW w:type="dxa" w:w="1640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</w:tbl>
    <w:p/>
    <w:p>
      <w:pPr>
        <w:pStyle w:val="Heading2"/>
      </w:pPr>
      <w:r>
        <w:t>3.4 真实服务验证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登录 HTTP 200 → 风控专员账号 / pingpong 角色 / 13 个权限点</w:t>
        <w:br/>
        <w:t>/api/dashboard/overview、/api/meta/nodes、/api/authz/grants、</w:t>
        <w:br/>
        <w:t>/api/audit/stats、/api/compliance/rules  → 全部 HTTP 200</w:t>
        <w:br/>
        <w:t>匿踪查询 → 命中 True / OFAC / 5.29ms / 达标 True</w:t>
        <w:br/>
        <w:t>联合统计 → 2680 笔 / 误差率 0.0380% / 达标 True</w:t>
      </w:r>
    </w:p>
    <w:p>
      <w:pPr>
        <w:pStyle w:val="Heading1"/>
      </w:pPr>
      <w:r>
        <w:t>四、缺陷发现与修复记录</w:t>
      </w:r>
    </w:p>
    <w:p>
      <w:r>
        <w:rPr>
          <w:rFonts w:ascii="微软雅黑" w:hAnsi="微软雅黑" w:eastAsia="微软雅黑"/>
          <w:b w:val="0"/>
        </w:rPr>
        <w:t>本轮测试共发现并修复 17 个真实缺陷，其中 5 个会导致服务不可用或功能失效（P0/P1 级），全部由自动化测试触发而非人工走查发现。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3060"/>
        <w:gridCol w:w="3060"/>
        <w:gridCol w:w="2186"/>
      </w:tblGrid>
      <w:tr>
        <w:tc>
          <w:tcPr>
            <w:tcW w:type="dxa" w:w="76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6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缺陷</w:t>
            </w:r>
          </w:p>
        </w:tc>
        <w:tc>
          <w:tcPr>
            <w:tcW w:type="dxa" w:w="306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18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D-01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种子数据调用 random.lognormal（应为 lognormvariate）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P0：后端启动即崩溃，前端报 500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改用 lognormvariate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D-02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风险评分读取 AuditLog.region（表中无该列）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P0：第二次登录必报 500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改读 node 字段并 getattr 兜底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D-03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异常穿透开关开启导致错误被 HTML 500 吞掉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P1：前端只见通用报错，无法定位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关闭穿透，统一 JSON 错误体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D-04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规则引擎把「命中的阻断动作」判为通过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P0：合规阻断失效，P1 未授权出境被判合规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重写判定语义（blocked/failed/passed）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D-05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SM4 固定参数 CK 表被展平为字节序列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P1：加密结果不符合国密标准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按 32 位字打包，通过两个国标向量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D-06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联邦聚合各节点使用不同量化尺度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P1：全局模型数值错误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全体节点共用公共量化尺度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D-07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Top-K 剪枝导致参数被永久冻结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P1：模型无法收敛（AUC 0.72）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首轮稠密预热 + 未传输参数沿用上轮值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D-08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差分隐私敏感度手工取值过大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P1：噪声淹没模型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由 DP-SGD 裁剪推导敏感度上界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D-09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PSI 客户端以签名值为键查盲化表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P1：隐私求交必然异常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按请求顺序保存盲化参数并校验签名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D-10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匿踪查询索引按清单集合缓存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P1：缓存永不命中，首次查询 500ms 超指标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按清单名分片缓存 + 启动预热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D-11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异常检测把整批交易当作 1 小时窗口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P1：预警量失真（892 条）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改为按「商户 × 小时」统计窗口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D-12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策略复盘使用假特征导致优化后指标变差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P1：持续优化闭环失效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审核特征向量入库，复盘使用真实特征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D-13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优化策略为固定规则调整（非寻优）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P2：可能越调越差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改为候选网格复盘 + 硬约束筛选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D-14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审核批次号按记录数整除生成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P1：批次号冲突插入失败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按已有批次数 + 1 生成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D-15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异常检测结果仅落库分数最高 80 条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P2：处置动作分布失真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全量落库（上限 200 条）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D-16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重置功能未清理任务/审计/区块表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P2：重置后残留历史数据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补全全部业务表并按外键顺序删除</w:t>
            </w:r>
          </w:p>
        </w:tc>
      </w:tr>
      <w:tr>
        <w:tc>
          <w:tcPr>
            <w:tcW w:type="dxa" w:w="765"/>
          </w:tcPr>
          <w:p>
            <w:r>
              <w:rPr>
                <w:rFonts w:ascii="微软雅黑" w:hAnsi="微软雅黑" w:eastAsia="微软雅黑"/>
                <w:sz w:val="19"/>
              </w:rPr>
              <w:t>D-17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链校验权限未授予运营端但导航栏每次调用</w:t>
            </w:r>
          </w:p>
        </w:tc>
        <w:tc>
          <w:tcPr>
            <w:tcW w:type="dxa" w:w="3060"/>
          </w:tcPr>
          <w:p>
            <w:r>
              <w:rPr>
                <w:rFonts w:ascii="微软雅黑" w:hAnsi="微软雅黑" w:eastAsia="微软雅黑"/>
                <w:sz w:val="19"/>
              </w:rPr>
              <w:t>P2：普通用户每次进页面弹权限提示</w:t>
            </w:r>
          </w:p>
        </w:tc>
        <w:tc>
          <w:tcPr>
            <w:tcW w:type="dxa" w:w="2186"/>
          </w:tcPr>
          <w:p>
            <w:r>
              <w:rPr>
                <w:rFonts w:ascii="微软雅黑" w:hAnsi="微软雅黑" w:eastAsia="微软雅黑"/>
                <w:sz w:val="19"/>
              </w:rPr>
              <w:t>补齐权限点 + 请求封装支持静默调用</w:t>
            </w:r>
          </w:p>
        </w:tc>
      </w:tr>
    </w:tbl>
    <w:p/>
    <w:p>
      <w:pPr>
        <w:pStyle w:val="Heading1"/>
      </w:pPr>
      <w:r>
        <w:t>五、测试结论与遗留风险</w:t>
      </w:r>
    </w:p>
    <w:p>
      <w:pPr>
        <w:pStyle w:val="Heading2"/>
      </w:pPr>
      <w:r>
        <w:t>5.1 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功能：赛题五大建设范围全部实现并通过端到端验证，113 项用例 100% 通过；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算法：14 项单元测试全部通过，国密 SM4 通过国家标准测试向量，联邦学习指标满足赛题要求；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接口：115 条后端路由与 106 处前端调用完全匹配，无悬空调用；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性能：匿踪查询、联合统计误差、模型精度等关键指标全部达标；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安全：鉴权边界、令牌黑名单、链篡改检出均验证有效。</w:t>
      </w:r>
    </w:p>
    <w:p>
      <w:pPr>
        <w:pStyle w:val="Heading2"/>
      </w:pPr>
      <w:r>
        <w:t>5.2 遗留风险与后续计划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721"/>
        <w:gridCol w:w="2318"/>
      </w:tblGrid>
      <w:tr>
        <w:tc>
          <w:tcPr>
            <w:tcW w:type="dxa" w:w="201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风险项</w:t>
            </w:r>
          </w:p>
        </w:tc>
        <w:tc>
          <w:tcPr>
            <w:tcW w:type="dxa" w:w="201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72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231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后续计划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前端未经浏览器渲染验证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页面视觉与交互细节未实测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sz w:val="19"/>
              </w:rPr>
              <w:t>已完成 37 个组件的真实编译校验与静态契约校验</w:t>
            </w:r>
          </w:p>
        </w:tc>
        <w:tc>
          <w:tcPr>
            <w:tcW w:type="dxa" w:w="2318"/>
          </w:tcPr>
          <w:p>
            <w:r>
              <w:rPr>
                <w:rFonts w:ascii="微软雅黑" w:hAnsi="微软雅黑" w:eastAsia="微软雅黑"/>
                <w:sz w:val="19"/>
              </w:rPr>
              <w:t>在有网环境执行 npm install &amp;&amp; npm run dev 后逐页走查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同态加密为纯软件实现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密文运算性能受限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sz w:val="19"/>
              </w:rPr>
              <w:t>Paillier-1024，聚合 280 份密文约 1s</w:t>
            </w:r>
          </w:p>
        </w:tc>
        <w:tc>
          <w:tcPr>
            <w:tcW w:type="dxa" w:w="2318"/>
          </w:tcPr>
          <w:p>
            <w:r>
              <w:rPr>
                <w:rFonts w:ascii="微软雅黑" w:hAnsi="微软雅黑" w:eastAsia="微软雅黑"/>
                <w:sz w:val="19"/>
              </w:rPr>
              <w:t>引入 gmpy2 或密码卡加速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联邦学习为单进程仿真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未验证真实多节点网络时延与容错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sz w:val="19"/>
              </w:rPr>
              <w:t>算法逻辑与聚合流程已完整实现</w:t>
            </w:r>
          </w:p>
        </w:tc>
        <w:tc>
          <w:tcPr>
            <w:tcW w:type="dxa" w:w="2318"/>
          </w:tcPr>
          <w:p>
            <w:r>
              <w:rPr>
                <w:rFonts w:ascii="微软雅黑" w:hAnsi="微软雅黑" w:eastAsia="微软雅黑"/>
                <w:sz w:val="19"/>
              </w:rPr>
              <w:t>搭建多节点测试环境开展联调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法规库模板条目未逐条校对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模板条目不能作为阻断依据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sz w:val="19"/>
              </w:rPr>
              <w:t>已区分 verified 标记，模板条目不参与强制校验</w:t>
            </w:r>
          </w:p>
        </w:tc>
        <w:tc>
          <w:tcPr>
            <w:tcW w:type="dxa" w:w="2318"/>
          </w:tcPr>
          <w:p>
            <w:r>
              <w:rPr>
                <w:rFonts w:ascii="微软雅黑" w:hAnsi="微软雅黑" w:eastAsia="微软雅黑"/>
                <w:sz w:val="19"/>
              </w:rPr>
              <w:t>法务团队逐条校对后转正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MySQL/国产数据库未实测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9"/>
              </w:rPr>
              <w:t>仅验证 SQLite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sz w:val="19"/>
              </w:rPr>
              <w:t>通过 DATABASE_URL 可切换，驱动已预留</w:t>
            </w:r>
          </w:p>
        </w:tc>
        <w:tc>
          <w:tcPr>
            <w:tcW w:type="dxa" w:w="2318"/>
          </w:tcPr>
          <w:p>
            <w:r>
              <w:rPr>
                <w:rFonts w:ascii="微软雅黑" w:hAnsi="微软雅黑" w:eastAsia="微软雅黑"/>
                <w:sz w:val="19"/>
              </w:rPr>
              <w:t>在 MySQL 与国产数据库上开展兼容性测试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