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color w:val="1F5FD8"/>
          <w:sz w:val="44"/>
        </w:rPr>
        <w:t>需求调研报告</w:t>
      </w:r>
    </w:p>
    <w:p>
      <w:pPr>
        <w:jc w:val="center"/>
      </w:pPr>
      <w:r>
        <w:rPr>
          <w:rFonts w:ascii="微软雅黑" w:hAnsi="微软雅黑" w:eastAsia="微软雅黑"/>
          <w:color w:val="5C6B7F"/>
          <w:sz w:val="22"/>
        </w:rPr>
        <w:t>FedShield · AI 风控合规智能大脑 ／ 赛题 A16 任务清单（1）</w:t>
      </w:r>
    </w:p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7030"/>
      </w:tblGrid>
      <w:tr>
        <w:tc>
          <w:tcPr>
            <w:tcW w:type="dxa" w:w="2041"/>
            <w:shd w:val="clear" w:fill="F2F5FA"/>
          </w:tcPr>
          <w:p>
            <w:r>
              <w:rPr>
                <w:rFonts w:ascii="微软雅黑" w:hAnsi="微软雅黑" w:eastAsia="微软雅黑"/>
                <w:sz w:val="19"/>
              </w:rPr>
              <w:t>赛题编号</w:t>
            </w:r>
          </w:p>
        </w:tc>
        <w:tc>
          <w:tcPr>
            <w:tcW w:type="dxa" w:w="7030"/>
          </w:tcPr>
          <w:p>
            <w:r>
              <w:rPr>
                <w:rFonts w:ascii="微软雅黑" w:hAnsi="微软雅黑" w:eastAsia="微软雅黑"/>
                <w:sz w:val="19"/>
              </w:rPr>
              <w:t>A16（本科组·应用类·人工智能方向）</w:t>
            </w:r>
          </w:p>
        </w:tc>
      </w:tr>
      <w:tr>
        <w:tc>
          <w:tcPr>
            <w:tcW w:type="dxa" w:w="2041"/>
            <w:shd w:val="clear" w:fill="F2F5FA"/>
          </w:tcPr>
          <w:p>
            <w:r>
              <w:rPr>
                <w:rFonts w:ascii="微软雅黑" w:hAnsi="微软雅黑" w:eastAsia="微软雅黑"/>
                <w:sz w:val="19"/>
              </w:rPr>
              <w:t>赛题名称</w:t>
            </w:r>
          </w:p>
        </w:tc>
        <w:tc>
          <w:tcPr>
            <w:tcW w:type="dxa" w:w="7030"/>
          </w:tcPr>
          <w:p>
            <w:r>
              <w:rPr>
                <w:rFonts w:ascii="微软雅黑" w:hAnsi="微软雅黑" w:eastAsia="微软雅黑"/>
                <w:sz w:val="19"/>
              </w:rPr>
              <w:t>面向全球支付场景的 AI 驱动风控合规智能大脑框架</w:t>
            </w:r>
          </w:p>
        </w:tc>
      </w:tr>
      <w:tr>
        <w:tc>
          <w:tcPr>
            <w:tcW w:type="dxa" w:w="2041"/>
            <w:shd w:val="clear" w:fill="F2F5FA"/>
          </w:tcPr>
          <w:p>
            <w:r>
              <w:rPr>
                <w:rFonts w:ascii="微软雅黑" w:hAnsi="微软雅黑" w:eastAsia="微软雅黑"/>
                <w:sz w:val="19"/>
              </w:rPr>
              <w:t>命题企业</w:t>
            </w:r>
          </w:p>
        </w:tc>
        <w:tc>
          <w:tcPr>
            <w:tcW w:type="dxa" w:w="7030"/>
          </w:tcPr>
          <w:p>
            <w:r>
              <w:rPr>
                <w:rFonts w:ascii="微软雅黑" w:hAnsi="微软雅黑" w:eastAsia="微软雅黑"/>
                <w:sz w:val="19"/>
              </w:rPr>
              <w:t>杭州乒乓智能技术有限公司（PingPong）</w:t>
            </w:r>
          </w:p>
        </w:tc>
      </w:tr>
      <w:tr>
        <w:tc>
          <w:tcPr>
            <w:tcW w:type="dxa" w:w="2041"/>
            <w:shd w:val="clear" w:fill="F2F5FA"/>
          </w:tcPr>
          <w:p>
            <w:r>
              <w:rPr>
                <w:rFonts w:ascii="微软雅黑" w:hAnsi="微软雅黑" w:eastAsia="微软雅黑"/>
                <w:sz w:val="19"/>
              </w:rPr>
              <w:t>作品名称</w:t>
            </w:r>
          </w:p>
        </w:tc>
        <w:tc>
          <w:tcPr>
            <w:tcW w:type="dxa" w:w="7030"/>
          </w:tcPr>
          <w:p>
            <w:r>
              <w:rPr>
                <w:rFonts w:ascii="微软雅黑" w:hAnsi="微软雅黑" w:eastAsia="微软雅黑"/>
                <w:sz w:val="19"/>
              </w:rPr>
              <w:t>FedShield · AI 风控合规智能大脑</w:t>
            </w:r>
          </w:p>
        </w:tc>
      </w:tr>
      <w:tr>
        <w:tc>
          <w:tcPr>
            <w:tcW w:type="dxa" w:w="2041"/>
            <w:shd w:val="clear" w:fill="F2F5FA"/>
          </w:tcPr>
          <w:p>
            <w:r>
              <w:rPr>
                <w:rFonts w:ascii="微软雅黑" w:hAnsi="微软雅黑" w:eastAsia="微软雅黑"/>
                <w:sz w:val="19"/>
              </w:rPr>
              <w:t>技术栈</w:t>
            </w:r>
          </w:p>
        </w:tc>
        <w:tc>
          <w:tcPr>
            <w:tcW w:type="dxa" w:w="7030"/>
          </w:tcPr>
          <w:p>
            <w:r>
              <w:rPr>
                <w:rFonts w:ascii="微软雅黑" w:hAnsi="微软雅黑" w:eastAsia="微软雅黑"/>
                <w:sz w:val="19"/>
              </w:rPr>
              <w:t>Vue 3 + Element Plus + Vite ／ Flask + SQLAlchemy ／ 联邦学习 + 同态加密 + 差分隐私 + 联盟链存证</w:t>
            </w:r>
          </w:p>
        </w:tc>
      </w:tr>
      <w:tr>
        <w:tc>
          <w:tcPr>
            <w:tcW w:type="dxa" w:w="2041"/>
            <w:shd w:val="clear" w:fill="F2F5FA"/>
          </w:tcPr>
          <w:p>
            <w:r>
              <w:rPr>
                <w:rFonts w:ascii="微软雅黑" w:hAnsi="微软雅黑" w:eastAsia="微软雅黑"/>
                <w:sz w:val="19"/>
              </w:rPr>
              <w:t>代码规模</w:t>
            </w:r>
          </w:p>
        </w:tc>
        <w:tc>
          <w:tcPr>
            <w:tcW w:type="dxa" w:w="7030"/>
          </w:tcPr>
          <w:p>
            <w:r>
              <w:rPr>
                <w:rFonts w:ascii="微软雅黑" w:hAnsi="微软雅黑" w:eastAsia="微软雅黑"/>
                <w:sz w:val="19"/>
              </w:rPr>
              <w:t>112 个受控文件 / 34,053 行（Vue 17,108 行、Python 12,961 行）</w:t>
            </w:r>
          </w:p>
        </w:tc>
      </w:tr>
      <w:tr>
        <w:tc>
          <w:tcPr>
            <w:tcW w:type="dxa" w:w="2041"/>
            <w:shd w:val="clear" w:fill="F2F5FA"/>
          </w:tcPr>
          <w:p>
            <w:r>
              <w:rPr>
                <w:rFonts w:ascii="微软雅黑" w:hAnsi="微软雅黑" w:eastAsia="微软雅黑"/>
                <w:sz w:val="19"/>
              </w:rPr>
              <w:t>功能规模</w:t>
            </w:r>
          </w:p>
        </w:tc>
        <w:tc>
          <w:tcPr>
            <w:tcW w:type="dxa" w:w="7030"/>
          </w:tcPr>
          <w:p>
            <w:r>
              <w:rPr>
                <w:rFonts w:ascii="微软雅黑" w:hAnsi="微软雅黑" w:eastAsia="微软雅黑"/>
                <w:sz w:val="19"/>
              </w:rPr>
              <w:t>11 个业务蓝图 / 116 条 API / 31 张数据表 / 29 个页面</w:t>
            </w:r>
          </w:p>
        </w:tc>
      </w:tr>
      <w:tr>
        <w:tc>
          <w:tcPr>
            <w:tcW w:type="dxa" w:w="2041"/>
            <w:shd w:val="clear" w:fill="F2F5FA"/>
          </w:tcPr>
          <w:p>
            <w:r>
              <w:rPr>
                <w:rFonts w:ascii="微软雅黑" w:hAnsi="微软雅黑" w:eastAsia="微软雅黑"/>
                <w:sz w:val="19"/>
              </w:rPr>
              <w:t>文档版本</w:t>
            </w:r>
          </w:p>
        </w:tc>
        <w:tc>
          <w:tcPr>
            <w:tcW w:type="dxa" w:w="7030"/>
          </w:tcPr>
          <w:p>
            <w:r>
              <w:rPr>
                <w:rFonts w:ascii="微软雅黑" w:hAnsi="微软雅黑" w:eastAsia="微软雅黑"/>
                <w:sz w:val="19"/>
              </w:rPr>
              <w:t>V1.0</w:t>
            </w:r>
          </w:p>
        </w:tc>
      </w:tr>
    </w:tbl>
    <w:p/>
    <w:p>
      <w:pPr>
        <w:pStyle w:val="Heading1"/>
      </w:pPr>
      <w:r>
        <w:t>一、调研背景</w:t>
      </w:r>
    </w:p>
    <w:p>
      <w:pPr>
        <w:pStyle w:val="Heading2"/>
      </w:pPr>
      <w:r>
        <w:t>1.1 行业背景</w:t>
      </w:r>
    </w:p>
    <w:p>
      <w:r>
        <w:rPr>
          <w:rFonts w:ascii="微软雅黑" w:hAnsi="微软雅黑" w:eastAsia="微软雅黑"/>
          <w:b w:val="0"/>
        </w:rPr>
        <w:t>跨境支付业务具有「跨地区、跨监管、跨主体」的复杂特征。据赛题手册背景说明，以 PingPong 为代表的跨境支付平台需覆盖 200+ 国家与地区，实时解析 50 余项国际监管政策，并同步满足中美欧监管框架。传统依赖人工与静态规则的风控合规模式已难以支撑高效率、强合规、优体验的业务要求。</w:t>
      </w:r>
    </w:p>
    <w:p>
      <w:pPr>
        <w:pStyle w:val="Heading2"/>
      </w:pPr>
      <w:r>
        <w:t>1.2 核心矛盾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64"/>
        <w:gridCol w:w="4170"/>
        <w:gridCol w:w="3336"/>
      </w:tblGrid>
      <w:tr>
        <w:tc>
          <w:tcPr>
            <w:tcW w:type="dxa" w:w="1564"/>
            <w:shd w:val="clear" w:fill="1F5FD8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矛盾</w:t>
            </w:r>
          </w:p>
        </w:tc>
        <w:tc>
          <w:tcPr>
            <w:tcW w:type="dxa" w:w="4170"/>
            <w:shd w:val="clear" w:fill="1F5FD8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具体表现</w:t>
            </w:r>
          </w:p>
        </w:tc>
        <w:tc>
          <w:tcPr>
            <w:tcW w:type="dxa" w:w="3336"/>
            <w:shd w:val="clear" w:fill="1F5FD8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业务影响</w:t>
            </w:r>
          </w:p>
        </w:tc>
      </w:tr>
      <w:tr>
        <w:tc>
          <w:tcPr>
            <w:tcW w:type="dxa" w:w="1564"/>
          </w:tcPr>
          <w:p>
            <w:r>
              <w:rPr>
                <w:rFonts w:ascii="微软雅黑" w:hAnsi="微软雅黑" w:eastAsia="微软雅黑"/>
                <w:sz w:val="19"/>
              </w:rPr>
              <w:t>效率与风险</w:t>
            </w:r>
          </w:p>
        </w:tc>
        <w:tc>
          <w:tcPr>
            <w:tcW w:type="dxa" w:w="4170"/>
          </w:tcPr>
          <w:p>
            <w:r>
              <w:rPr>
                <w:rFonts w:ascii="微软雅黑" w:hAnsi="微软雅黑" w:eastAsia="微软雅黑"/>
                <w:sz w:val="19"/>
              </w:rPr>
              <w:t>人工审核单笔耗时长，风险识别依赖经验，审核口径因人而异</w:t>
            </w:r>
          </w:p>
        </w:tc>
        <w:tc>
          <w:tcPr>
            <w:tcW w:type="dxa" w:w="3336"/>
          </w:tcPr>
          <w:p>
            <w:r>
              <w:rPr>
                <w:rFonts w:ascii="微软雅黑" w:hAnsi="微软雅黑" w:eastAsia="微软雅黑"/>
                <w:sz w:val="19"/>
              </w:rPr>
              <w:t>审核时效长、人力成本高、漏放风险不可控</w:t>
            </w:r>
          </w:p>
        </w:tc>
      </w:tr>
      <w:tr>
        <w:tc>
          <w:tcPr>
            <w:tcW w:type="dxa" w:w="1564"/>
          </w:tcPr>
          <w:p>
            <w:r>
              <w:rPr>
                <w:rFonts w:ascii="微软雅黑" w:hAnsi="微软雅黑" w:eastAsia="微软雅黑"/>
                <w:sz w:val="19"/>
              </w:rPr>
              <w:t>数据价值与隐私</w:t>
            </w:r>
          </w:p>
        </w:tc>
        <w:tc>
          <w:tcPr>
            <w:tcW w:type="dxa" w:w="4170"/>
          </w:tcPr>
          <w:p>
            <w:r>
              <w:rPr>
                <w:rFonts w:ascii="微软雅黑" w:hAnsi="微软雅黑" w:eastAsia="微软雅黑"/>
                <w:sz w:val="19"/>
              </w:rPr>
              <w:t>跨境数据受 GDPR / PIPL / Schrems II 严格限制，敏感数据不能出境</w:t>
            </w:r>
          </w:p>
        </w:tc>
        <w:tc>
          <w:tcPr>
            <w:tcW w:type="dxa" w:w="3336"/>
          </w:tcPr>
          <w:p>
            <w:r>
              <w:rPr>
                <w:rFonts w:ascii="微软雅黑" w:hAnsi="微软雅黑" w:eastAsia="微软雅黑"/>
                <w:sz w:val="19"/>
              </w:rPr>
              <w:t>跨地域风险特征无法共享，模型精度受限</w:t>
            </w:r>
          </w:p>
        </w:tc>
      </w:tr>
      <w:tr>
        <w:tc>
          <w:tcPr>
            <w:tcW w:type="dxa" w:w="1564"/>
          </w:tcPr>
          <w:p>
            <w:r>
              <w:rPr>
                <w:rFonts w:ascii="微软雅黑" w:hAnsi="微软雅黑" w:eastAsia="微软雅黑"/>
                <w:sz w:val="19"/>
              </w:rPr>
              <w:t>合规碎片化</w:t>
            </w:r>
          </w:p>
        </w:tc>
        <w:tc>
          <w:tcPr>
            <w:tcW w:type="dxa" w:w="4170"/>
          </w:tcPr>
          <w:p>
            <w:r>
              <w:rPr>
                <w:rFonts w:ascii="微软雅黑" w:hAnsi="微软雅黑" w:eastAsia="微软雅黑"/>
                <w:sz w:val="19"/>
              </w:rPr>
              <w:t>218 个司法辖区的数据与反洗钱要求各不相同且持续变化</w:t>
            </w:r>
          </w:p>
        </w:tc>
        <w:tc>
          <w:tcPr>
            <w:tcW w:type="dxa" w:w="3336"/>
          </w:tcPr>
          <w:p>
            <w:r>
              <w:rPr>
                <w:rFonts w:ascii="微软雅黑" w:hAnsi="微软雅黑" w:eastAsia="微软雅黑"/>
                <w:sz w:val="19"/>
              </w:rPr>
              <w:t>合规成本高、新规响应滞后、易触碰监管红线</w:t>
            </w:r>
          </w:p>
        </w:tc>
      </w:tr>
      <w:tr>
        <w:tc>
          <w:tcPr>
            <w:tcW w:type="dxa" w:w="1564"/>
          </w:tcPr>
          <w:p>
            <w:r>
              <w:rPr>
                <w:rFonts w:ascii="微软雅黑" w:hAnsi="微软雅黑" w:eastAsia="微软雅黑"/>
                <w:sz w:val="19"/>
              </w:rPr>
              <w:t>链路稳定性</w:t>
            </w:r>
          </w:p>
        </w:tc>
        <w:tc>
          <w:tcPr>
            <w:tcW w:type="dxa" w:w="4170"/>
          </w:tcPr>
          <w:p>
            <w:r>
              <w:rPr>
                <w:rFonts w:ascii="微软雅黑" w:hAnsi="微软雅黑" w:eastAsia="微软雅黑"/>
                <w:sz w:val="19"/>
              </w:rPr>
              <w:t>跨境清算依赖多通道，通道故障缺乏自动补偿机制</w:t>
            </w:r>
          </w:p>
        </w:tc>
        <w:tc>
          <w:tcPr>
            <w:tcW w:type="dxa" w:w="3336"/>
          </w:tcPr>
          <w:p>
            <w:r>
              <w:rPr>
                <w:rFonts w:ascii="微软雅黑" w:hAnsi="微软雅黑" w:eastAsia="微软雅黑"/>
                <w:sz w:val="19"/>
              </w:rPr>
              <w:t>交易失败后资金滞留，客户体验受损</w:t>
            </w:r>
          </w:p>
        </w:tc>
      </w:tr>
      <w:tr>
        <w:tc>
          <w:tcPr>
            <w:tcW w:type="dxa" w:w="1564"/>
          </w:tcPr>
          <w:p>
            <w:r>
              <w:rPr>
                <w:rFonts w:ascii="微软雅黑" w:hAnsi="微软雅黑" w:eastAsia="微软雅黑"/>
                <w:sz w:val="19"/>
              </w:rPr>
              <w:t>AI 与人工协同</w:t>
            </w:r>
          </w:p>
        </w:tc>
        <w:tc>
          <w:tcPr>
            <w:tcW w:type="dxa" w:w="4170"/>
          </w:tcPr>
          <w:p>
            <w:r>
              <w:rPr>
                <w:rFonts w:ascii="微软雅黑" w:hAnsi="微软雅黑" w:eastAsia="微软雅黑"/>
                <w:sz w:val="19"/>
              </w:rPr>
              <w:t>AI 判断与人工判断缺乏统一口径与比对机制</w:t>
            </w:r>
          </w:p>
        </w:tc>
        <w:tc>
          <w:tcPr>
            <w:tcW w:type="dxa" w:w="3336"/>
          </w:tcPr>
          <w:p>
            <w:r>
              <w:rPr>
                <w:rFonts w:ascii="微软雅黑" w:hAnsi="微软雅黑" w:eastAsia="微软雅黑"/>
                <w:sz w:val="19"/>
              </w:rPr>
              <w:t>AI 结论无法被信任，难以规模化推广</w:t>
            </w:r>
          </w:p>
        </w:tc>
      </w:tr>
    </w:tbl>
    <w:p/>
    <w:p>
      <w:pPr>
        <w:pStyle w:val="Heading1"/>
      </w:pPr>
      <w:r>
        <w:t>二、调研方法与样本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3326"/>
        <w:gridCol w:w="1713"/>
        <w:gridCol w:w="2217"/>
      </w:tblGrid>
      <w:tr>
        <w:tc>
          <w:tcPr>
            <w:tcW w:type="dxa" w:w="1814"/>
            <w:shd w:val="clear" w:fill="1F5FD8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方法</w:t>
            </w:r>
          </w:p>
        </w:tc>
        <w:tc>
          <w:tcPr>
            <w:tcW w:type="dxa" w:w="3326"/>
            <w:shd w:val="clear" w:fill="1F5FD8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对象</w:t>
            </w:r>
          </w:p>
        </w:tc>
        <w:tc>
          <w:tcPr>
            <w:tcW w:type="dxa" w:w="1713"/>
            <w:shd w:val="clear" w:fill="1F5FD8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样本量</w:t>
            </w:r>
          </w:p>
        </w:tc>
        <w:tc>
          <w:tcPr>
            <w:tcW w:type="dxa" w:w="2217"/>
            <w:shd w:val="clear" w:fill="1F5FD8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获取内容</w:t>
            </w:r>
          </w:p>
        </w:tc>
      </w:tr>
      <w:tr>
        <w:tc>
          <w:tcPr>
            <w:tcW w:type="dxa" w:w="1814"/>
          </w:tcPr>
          <w:p>
            <w:r>
              <w:rPr>
                <w:rFonts w:ascii="微软雅黑" w:hAnsi="微软雅黑" w:eastAsia="微软雅黑"/>
                <w:sz w:val="19"/>
              </w:rPr>
              <w:t>赛题与法规文本分析</w:t>
            </w:r>
          </w:p>
        </w:tc>
        <w:tc>
          <w:tcPr>
            <w:tcW w:type="dxa" w:w="3326"/>
          </w:tcPr>
          <w:p>
            <w:r>
              <w:rPr>
                <w:rFonts w:ascii="微软雅黑" w:hAnsi="微软雅黑" w:eastAsia="微软雅黑"/>
                <w:sz w:val="19"/>
              </w:rPr>
              <w:t>赛题手册（142 页）、224 条法规库</w:t>
            </w:r>
          </w:p>
        </w:tc>
        <w:tc>
          <w:tcPr>
            <w:tcW w:type="dxa" w:w="1713"/>
          </w:tcPr>
          <w:p>
            <w:r>
              <w:rPr>
                <w:rFonts w:ascii="微软雅黑" w:hAnsi="微软雅黑" w:eastAsia="微软雅黑"/>
                <w:sz w:val="19"/>
              </w:rPr>
              <w:t>218 个辖区</w:t>
            </w:r>
          </w:p>
        </w:tc>
        <w:tc>
          <w:tcPr>
            <w:tcW w:type="dxa" w:w="2217"/>
          </w:tcPr>
          <w:p>
            <w:r>
              <w:rPr>
                <w:rFonts w:ascii="微软雅黑" w:hAnsi="微软雅黑" w:eastAsia="微软雅黑"/>
                <w:sz w:val="19"/>
              </w:rPr>
              <w:t>功能要求、合规红线、留存年限要求</w:t>
            </w:r>
          </w:p>
        </w:tc>
      </w:tr>
      <w:tr>
        <w:tc>
          <w:tcPr>
            <w:tcW w:type="dxa" w:w="1814"/>
          </w:tcPr>
          <w:p>
            <w:r>
              <w:rPr>
                <w:rFonts w:ascii="微软雅黑" w:hAnsi="微软雅黑" w:eastAsia="微软雅黑"/>
                <w:sz w:val="19"/>
              </w:rPr>
              <w:t>业务流程梳理</w:t>
            </w:r>
          </w:p>
        </w:tc>
        <w:tc>
          <w:tcPr>
            <w:tcW w:type="dxa" w:w="3326"/>
          </w:tcPr>
          <w:p>
            <w:r>
              <w:rPr>
                <w:rFonts w:ascii="微软雅黑" w:hAnsi="微软雅黑" w:eastAsia="微软雅黑"/>
                <w:sz w:val="19"/>
              </w:rPr>
              <w:t>支付处理、风控审核、合规报送、运营分析四条业务线</w:t>
            </w:r>
          </w:p>
        </w:tc>
        <w:tc>
          <w:tcPr>
            <w:tcW w:type="dxa" w:w="1713"/>
          </w:tcPr>
          <w:p>
            <w:r>
              <w:rPr>
                <w:rFonts w:ascii="微软雅黑" w:hAnsi="微软雅黑" w:eastAsia="微软雅黑"/>
                <w:sz w:val="19"/>
              </w:rPr>
              <w:t>4 条业务线</w:t>
            </w:r>
          </w:p>
        </w:tc>
        <w:tc>
          <w:tcPr>
            <w:tcW w:type="dxa" w:w="2217"/>
          </w:tcPr>
          <w:p>
            <w:r>
              <w:rPr>
                <w:rFonts w:ascii="微软雅黑" w:hAnsi="微软雅黑" w:eastAsia="微软雅黑"/>
                <w:sz w:val="19"/>
              </w:rPr>
              <w:t>流程节点、角色分工、时效要求</w:t>
            </w:r>
          </w:p>
        </w:tc>
      </w:tr>
      <w:tr>
        <w:tc>
          <w:tcPr>
            <w:tcW w:type="dxa" w:w="1814"/>
          </w:tcPr>
          <w:p>
            <w:r>
              <w:rPr>
                <w:rFonts w:ascii="微软雅黑" w:hAnsi="微软雅黑" w:eastAsia="微软雅黑"/>
                <w:sz w:val="19"/>
              </w:rPr>
              <w:t>角色访谈（演示评审）</w:t>
            </w:r>
          </w:p>
        </w:tc>
        <w:tc>
          <w:tcPr>
            <w:tcW w:type="dxa" w:w="3326"/>
          </w:tcPr>
          <w:p>
            <w:r>
              <w:rPr>
                <w:rFonts w:ascii="微软雅黑" w:hAnsi="微软雅黑" w:eastAsia="微软雅黑"/>
                <w:sz w:val="19"/>
              </w:rPr>
              <w:t>运营端 / 合规端 / 监管端 / 商户端四类角色</w:t>
            </w:r>
          </w:p>
        </w:tc>
        <w:tc>
          <w:tcPr>
            <w:tcW w:type="dxa" w:w="1713"/>
          </w:tcPr>
          <w:p>
            <w:r>
              <w:rPr>
                <w:rFonts w:ascii="微软雅黑" w:hAnsi="微软雅黑" w:eastAsia="微软雅黑"/>
                <w:sz w:val="19"/>
              </w:rPr>
              <w:t>4 类角色</w:t>
            </w:r>
          </w:p>
        </w:tc>
        <w:tc>
          <w:tcPr>
            <w:tcW w:type="dxa" w:w="2217"/>
          </w:tcPr>
          <w:p>
            <w:r>
              <w:rPr>
                <w:rFonts w:ascii="微软雅黑" w:hAnsi="微软雅黑" w:eastAsia="微软雅黑"/>
                <w:sz w:val="19"/>
              </w:rPr>
              <w:t>各角色关注指标与操作诉求</w:t>
            </w:r>
          </w:p>
        </w:tc>
      </w:tr>
      <w:tr>
        <w:tc>
          <w:tcPr>
            <w:tcW w:type="dxa" w:w="1814"/>
          </w:tcPr>
          <w:p>
            <w:r>
              <w:rPr>
                <w:rFonts w:ascii="微软雅黑" w:hAnsi="微软雅黑" w:eastAsia="微软雅黑"/>
                <w:sz w:val="19"/>
              </w:rPr>
              <w:t>数据分析</w:t>
            </w:r>
          </w:p>
        </w:tc>
        <w:tc>
          <w:tcPr>
            <w:tcW w:type="dxa" w:w="3326"/>
          </w:tcPr>
          <w:p>
            <w:r>
              <w:rPr>
                <w:rFonts w:ascii="微软雅黑" w:hAnsi="微软雅黑" w:eastAsia="微软雅黑"/>
                <w:sz w:val="19"/>
              </w:rPr>
              <w:t>演示环境交易库</w:t>
            </w:r>
          </w:p>
        </w:tc>
        <w:tc>
          <w:tcPr>
            <w:tcW w:type="dxa" w:w="1713"/>
          </w:tcPr>
          <w:p>
            <w:r>
              <w:rPr>
                <w:rFonts w:ascii="微软雅黑" w:hAnsi="微软雅黑" w:eastAsia="微软雅黑"/>
                <w:sz w:val="19"/>
              </w:rPr>
              <w:t>59 商户 / 2,703 笔交易 / 90 天</w:t>
            </w:r>
          </w:p>
        </w:tc>
        <w:tc>
          <w:tcPr>
            <w:tcW w:type="dxa" w:w="2217"/>
          </w:tcPr>
          <w:p>
            <w:r>
              <w:rPr>
                <w:rFonts w:ascii="微软雅黑" w:hAnsi="微软雅黑" w:eastAsia="微软雅黑"/>
                <w:sz w:val="19"/>
              </w:rPr>
              <w:t>风险分布、金额分布、地区分布、异常模式</w:t>
            </w:r>
          </w:p>
        </w:tc>
      </w:tr>
      <w:tr>
        <w:tc>
          <w:tcPr>
            <w:tcW w:type="dxa" w:w="1814"/>
          </w:tcPr>
          <w:p>
            <w:r>
              <w:rPr>
                <w:rFonts w:ascii="微软雅黑" w:hAnsi="微软雅黑" w:eastAsia="微软雅黑"/>
                <w:sz w:val="19"/>
              </w:rPr>
              <w:t>竞品与文献调研</w:t>
            </w:r>
          </w:p>
        </w:tc>
        <w:tc>
          <w:tcPr>
            <w:tcW w:type="dxa" w:w="3326"/>
          </w:tcPr>
          <w:p>
            <w:r>
              <w:rPr>
                <w:rFonts w:ascii="微软雅黑" w:hAnsi="微软雅黑" w:eastAsia="微软雅黑"/>
                <w:sz w:val="19"/>
              </w:rPr>
              <w:t>跨境支付 RegTech 公开资料</w:t>
            </w:r>
          </w:p>
        </w:tc>
        <w:tc>
          <w:tcPr>
            <w:tcW w:type="dxa" w:w="1713"/>
          </w:tcPr>
          <w:p>
            <w:r>
              <w:rPr>
                <w:rFonts w:ascii="微软雅黑" w:hAnsi="微软雅黑" w:eastAsia="微软雅黑"/>
                <w:sz w:val="19"/>
              </w:rPr>
              <w:t>—</w:t>
            </w:r>
          </w:p>
        </w:tc>
        <w:tc>
          <w:tcPr>
            <w:tcW w:type="dxa" w:w="2217"/>
          </w:tcPr>
          <w:p>
            <w:r>
              <w:rPr>
                <w:rFonts w:ascii="微软雅黑" w:hAnsi="微软雅黑" w:eastAsia="微软雅黑"/>
                <w:sz w:val="19"/>
              </w:rPr>
              <w:t>行业通用做法与指标基准</w:t>
            </w:r>
          </w:p>
        </w:tc>
      </w:tr>
    </w:tbl>
    <w:p/>
    <w:p>
      <w:pPr>
        <w:ind w:left="227"/>
      </w:pPr>
      <w:r>
        <w:rPr>
          <w:rFonts w:ascii="微软雅黑" w:hAnsi="微软雅黑" w:eastAsia="微软雅黑"/>
          <w:i/>
          <w:color w:val="5C6B7F"/>
          <w:sz w:val="19"/>
        </w:rPr>
        <w:t>说明：受赛程限制，本次调研以赛题文本分析、业务流程梳理与演示数据统计为主；面向真实企业的用户访谈与问卷调研建议在复赛阶段补充，模板见附件。团队信息：【待团队填写】</w:t>
      </w:r>
    </w:p>
    <w:p>
      <w:pPr>
        <w:pStyle w:val="Heading1"/>
      </w:pPr>
      <w:r>
        <w:t>三、现状痛点量化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64"/>
        <w:gridCol w:w="3128"/>
        <w:gridCol w:w="2711"/>
        <w:gridCol w:w="1668"/>
      </w:tblGrid>
      <w:tr>
        <w:tc>
          <w:tcPr>
            <w:tcW w:type="dxa" w:w="1564"/>
            <w:shd w:val="clear" w:fill="1F5FD8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痛点</w:t>
            </w:r>
          </w:p>
        </w:tc>
        <w:tc>
          <w:tcPr>
            <w:tcW w:type="dxa" w:w="3128"/>
            <w:shd w:val="clear" w:fill="1F5FD8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现状数据</w:t>
            </w:r>
          </w:p>
        </w:tc>
        <w:tc>
          <w:tcPr>
            <w:tcW w:type="dxa" w:w="2711"/>
            <w:shd w:val="clear" w:fill="1F5FD8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目标</w:t>
            </w:r>
          </w:p>
        </w:tc>
        <w:tc>
          <w:tcPr>
            <w:tcW w:type="dxa" w:w="1668"/>
            <w:shd w:val="clear" w:fill="1F5FD8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差距</w:t>
            </w:r>
          </w:p>
        </w:tc>
      </w:tr>
      <w:tr>
        <w:tc>
          <w:tcPr>
            <w:tcW w:type="dxa" w:w="1564"/>
          </w:tcPr>
          <w:p>
            <w:r>
              <w:rPr>
                <w:rFonts w:ascii="微软雅黑" w:hAnsi="微软雅黑" w:eastAsia="微软雅黑"/>
                <w:sz w:val="19"/>
              </w:rPr>
              <w:t>人工审核效率</w:t>
            </w:r>
          </w:p>
        </w:tc>
        <w:tc>
          <w:tcPr>
            <w:tcW w:type="dxa" w:w="3128"/>
          </w:tcPr>
          <w:p>
            <w:r>
              <w:rPr>
                <w:rFonts w:ascii="微软雅黑" w:hAnsi="微软雅黑" w:eastAsia="微软雅黑"/>
                <w:sz w:val="19"/>
              </w:rPr>
              <w:t>单笔人工复核平均耗时 142 秒（实测模拟）</w:t>
            </w:r>
          </w:p>
        </w:tc>
        <w:tc>
          <w:tcPr>
            <w:tcW w:type="dxa" w:w="2711"/>
          </w:tcPr>
          <w:p>
            <w:r>
              <w:rPr>
                <w:rFonts w:ascii="微软雅黑" w:hAnsi="微软雅黑" w:eastAsia="微软雅黑"/>
                <w:sz w:val="19"/>
              </w:rPr>
              <w:t>AI 初审毫秒级、仅疑难转人工</w:t>
            </w:r>
          </w:p>
        </w:tc>
        <w:tc>
          <w:tcPr>
            <w:tcW w:type="dxa" w:w="1668"/>
          </w:tcPr>
          <w:p>
            <w:r>
              <w:rPr>
                <w:rFonts w:ascii="微软雅黑" w:hAnsi="微软雅黑" w:eastAsia="微软雅黑"/>
                <w:sz w:val="19"/>
              </w:rPr>
              <w:t>审核人力占用高</w:t>
            </w:r>
          </w:p>
        </w:tc>
      </w:tr>
      <w:tr>
        <w:tc>
          <w:tcPr>
            <w:tcW w:type="dxa" w:w="1564"/>
          </w:tcPr>
          <w:p>
            <w:r>
              <w:rPr>
                <w:rFonts w:ascii="微软雅黑" w:hAnsi="微软雅黑" w:eastAsia="微软雅黑"/>
                <w:sz w:val="19"/>
              </w:rPr>
              <w:t>跨地域模型精度</w:t>
            </w:r>
          </w:p>
        </w:tc>
        <w:tc>
          <w:tcPr>
            <w:tcW w:type="dxa" w:w="3128"/>
          </w:tcPr>
          <w:p>
            <w:r>
              <w:rPr>
                <w:rFonts w:ascii="微软雅黑" w:hAnsi="微软雅黑" w:eastAsia="微软雅黑"/>
                <w:sz w:val="19"/>
              </w:rPr>
              <w:t>单地区本地建模 AUC 0.6531，漏检率显著高于 7% 红线</w:t>
            </w:r>
          </w:p>
        </w:tc>
        <w:tc>
          <w:tcPr>
            <w:tcW w:type="dxa" w:w="2711"/>
          </w:tcPr>
          <w:p>
            <w:r>
              <w:rPr>
                <w:rFonts w:ascii="微软雅黑" w:hAnsi="微软雅黑" w:eastAsia="微软雅黑"/>
                <w:sz w:val="19"/>
              </w:rPr>
              <w:t>联合建模 AUC ≥0.80、漏检 ≤7%</w:t>
            </w:r>
          </w:p>
        </w:tc>
        <w:tc>
          <w:tcPr>
            <w:tcW w:type="dxa" w:w="1668"/>
          </w:tcPr>
          <w:p>
            <w:r>
              <w:rPr>
                <w:rFonts w:ascii="微软雅黑" w:hAnsi="微软雅黑" w:eastAsia="微软雅黑"/>
                <w:sz w:val="19"/>
              </w:rPr>
              <w:t>本地建模不可用</w:t>
            </w:r>
          </w:p>
        </w:tc>
      </w:tr>
      <w:tr>
        <w:tc>
          <w:tcPr>
            <w:tcW w:type="dxa" w:w="1564"/>
          </w:tcPr>
          <w:p>
            <w:r>
              <w:rPr>
                <w:rFonts w:ascii="微软雅黑" w:hAnsi="微软雅黑" w:eastAsia="微软雅黑"/>
                <w:sz w:val="19"/>
              </w:rPr>
              <w:t>审核一致性</w:t>
            </w:r>
          </w:p>
        </w:tc>
        <w:tc>
          <w:tcPr>
            <w:tcW w:type="dxa" w:w="3128"/>
          </w:tcPr>
          <w:p>
            <w:r>
              <w:rPr>
                <w:rFonts w:ascii="微软雅黑" w:hAnsi="微软雅黑" w:eastAsia="微软雅黑"/>
                <w:sz w:val="19"/>
              </w:rPr>
              <w:t>缺乏比对机制，无法量化 AI 与人工是否一致</w:t>
            </w:r>
          </w:p>
        </w:tc>
        <w:tc>
          <w:tcPr>
            <w:tcW w:type="dxa" w:w="2711"/>
          </w:tcPr>
          <w:p>
            <w:r>
              <w:rPr>
                <w:rFonts w:ascii="微软雅黑" w:hAnsi="微软雅黑" w:eastAsia="微软雅黑"/>
                <w:sz w:val="19"/>
              </w:rPr>
              <w:t>一致性 ≥95%、Kappa ≥0.75</w:t>
            </w:r>
          </w:p>
        </w:tc>
        <w:tc>
          <w:tcPr>
            <w:tcW w:type="dxa" w:w="1668"/>
          </w:tcPr>
          <w:p>
            <w:r>
              <w:rPr>
                <w:rFonts w:ascii="微软雅黑" w:hAnsi="微软雅黑" w:eastAsia="微软雅黑"/>
                <w:sz w:val="19"/>
              </w:rPr>
              <w:t>无度量手段</w:t>
            </w:r>
          </w:p>
        </w:tc>
      </w:tr>
      <w:tr>
        <w:tc>
          <w:tcPr>
            <w:tcW w:type="dxa" w:w="1564"/>
          </w:tcPr>
          <w:p>
            <w:r>
              <w:rPr>
                <w:rFonts w:ascii="微软雅黑" w:hAnsi="微软雅黑" w:eastAsia="微软雅黑"/>
                <w:sz w:val="19"/>
              </w:rPr>
              <w:t>通道故障处理</w:t>
            </w:r>
          </w:p>
        </w:tc>
        <w:tc>
          <w:tcPr>
            <w:tcW w:type="dxa" w:w="3128"/>
          </w:tcPr>
          <w:p>
            <w:r>
              <w:rPr>
                <w:rFonts w:ascii="微软雅黑" w:hAnsi="微软雅黑" w:eastAsia="微软雅黑"/>
                <w:sz w:val="19"/>
              </w:rPr>
              <w:t>失败后无自动重试与补偿，需人工介入</w:t>
            </w:r>
          </w:p>
        </w:tc>
        <w:tc>
          <w:tcPr>
            <w:tcW w:type="dxa" w:w="2711"/>
          </w:tcPr>
          <w:p>
            <w:r>
              <w:rPr>
                <w:rFonts w:ascii="微软雅黑" w:hAnsi="微软雅黑" w:eastAsia="微软雅黑"/>
                <w:sz w:val="19"/>
              </w:rPr>
              <w:t>自动重试 + 自动补偿闭环</w:t>
            </w:r>
          </w:p>
        </w:tc>
        <w:tc>
          <w:tcPr>
            <w:tcW w:type="dxa" w:w="1668"/>
          </w:tcPr>
          <w:p>
            <w:r>
              <w:rPr>
                <w:rFonts w:ascii="微软雅黑" w:hAnsi="微软雅黑" w:eastAsia="微软雅黑"/>
                <w:sz w:val="19"/>
              </w:rPr>
              <w:t>资金处理时延不可控</w:t>
            </w:r>
          </w:p>
        </w:tc>
      </w:tr>
      <w:tr>
        <w:tc>
          <w:tcPr>
            <w:tcW w:type="dxa" w:w="1564"/>
          </w:tcPr>
          <w:p>
            <w:r>
              <w:rPr>
                <w:rFonts w:ascii="微软雅黑" w:hAnsi="微软雅黑" w:eastAsia="微软雅黑"/>
                <w:sz w:val="19"/>
              </w:rPr>
              <w:t>异常监测</w:t>
            </w:r>
          </w:p>
        </w:tc>
        <w:tc>
          <w:tcPr>
            <w:tcW w:type="dxa" w:w="3128"/>
          </w:tcPr>
          <w:p>
            <w:r>
              <w:rPr>
                <w:rFonts w:ascii="微软雅黑" w:hAnsi="微软雅黑" w:eastAsia="微软雅黑"/>
                <w:sz w:val="19"/>
              </w:rPr>
              <w:t>依赖人工排查，预警量不可控</w:t>
            </w:r>
          </w:p>
        </w:tc>
        <w:tc>
          <w:tcPr>
            <w:tcW w:type="dxa" w:w="2711"/>
          </w:tcPr>
          <w:p>
            <w:r>
              <w:rPr>
                <w:rFonts w:ascii="微软雅黑" w:hAnsi="微软雅黑" w:eastAsia="微软雅黑"/>
                <w:sz w:val="19"/>
              </w:rPr>
              <w:t>规则化检测 + 自动处置 + 人工确认</w:t>
            </w:r>
          </w:p>
        </w:tc>
        <w:tc>
          <w:tcPr>
            <w:tcW w:type="dxa" w:w="1668"/>
          </w:tcPr>
          <w:p>
            <w:r>
              <w:rPr>
                <w:rFonts w:ascii="微软雅黑" w:hAnsi="微软雅黑" w:eastAsia="微软雅黑"/>
                <w:sz w:val="19"/>
              </w:rPr>
              <w:t>响应滞后</w:t>
            </w:r>
          </w:p>
        </w:tc>
      </w:tr>
      <w:tr>
        <w:tc>
          <w:tcPr>
            <w:tcW w:type="dxa" w:w="1564"/>
          </w:tcPr>
          <w:p>
            <w:r>
              <w:rPr>
                <w:rFonts w:ascii="微软雅黑" w:hAnsi="微软雅黑" w:eastAsia="微软雅黑"/>
                <w:sz w:val="19"/>
              </w:rPr>
              <w:t>合规校验</w:t>
            </w:r>
          </w:p>
        </w:tc>
        <w:tc>
          <w:tcPr>
            <w:tcW w:type="dxa" w:w="3128"/>
          </w:tcPr>
          <w:p>
            <w:r>
              <w:rPr>
                <w:rFonts w:ascii="微软雅黑" w:hAnsi="微软雅黑" w:eastAsia="微软雅黑"/>
                <w:sz w:val="19"/>
              </w:rPr>
              <w:t>人工比对法规，跨 218 辖区易遗漏</w:t>
            </w:r>
          </w:p>
        </w:tc>
        <w:tc>
          <w:tcPr>
            <w:tcW w:type="dxa" w:w="2711"/>
          </w:tcPr>
          <w:p>
            <w:r>
              <w:rPr>
                <w:rFonts w:ascii="微软雅黑" w:hAnsi="微软雅黑" w:eastAsia="微软雅黑"/>
                <w:sz w:val="19"/>
              </w:rPr>
              <w:t>规则引擎自动校验 + 整改清单</w:t>
            </w:r>
          </w:p>
        </w:tc>
        <w:tc>
          <w:tcPr>
            <w:tcW w:type="dxa" w:w="1668"/>
          </w:tcPr>
          <w:p>
            <w:r>
              <w:rPr>
                <w:rFonts w:ascii="微软雅黑" w:hAnsi="微软雅黑" w:eastAsia="微软雅黑"/>
                <w:sz w:val="19"/>
              </w:rPr>
              <w:t>合规成本高</w:t>
            </w:r>
          </w:p>
        </w:tc>
      </w:tr>
    </w:tbl>
    <w:p/>
    <w:p>
      <w:pPr>
        <w:pStyle w:val="Heading1"/>
      </w:pPr>
      <w:r>
        <w:t>四、需求归纳</w:t>
      </w:r>
    </w:p>
    <w:p>
      <w:pPr>
        <w:pStyle w:val="Heading2"/>
      </w:pPr>
      <w:r>
        <w:t>4.1 功能性需求（对应赛题五大建设范围）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60"/>
        <w:gridCol w:w="4948"/>
        <w:gridCol w:w="2002"/>
        <w:gridCol w:w="1060"/>
      </w:tblGrid>
      <w:tr>
        <w:tc>
          <w:tcPr>
            <w:tcW w:type="dxa" w:w="1060"/>
            <w:shd w:val="clear" w:fill="1F5FD8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编号</w:t>
            </w:r>
          </w:p>
        </w:tc>
        <w:tc>
          <w:tcPr>
            <w:tcW w:type="dxa" w:w="4948"/>
            <w:shd w:val="clear" w:fill="1F5FD8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需求</w:t>
            </w:r>
          </w:p>
        </w:tc>
        <w:tc>
          <w:tcPr>
            <w:tcW w:type="dxa" w:w="2002"/>
            <w:shd w:val="clear" w:fill="1F5FD8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来源</w:t>
            </w:r>
          </w:p>
        </w:tc>
        <w:tc>
          <w:tcPr>
            <w:tcW w:type="dxa" w:w="1060"/>
            <w:shd w:val="clear" w:fill="1F5FD8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优先级</w:t>
            </w:r>
          </w:p>
        </w:tc>
      </w:tr>
      <w:tr>
        <w:tc>
          <w:tcPr>
            <w:tcW w:type="dxa" w:w="1060"/>
          </w:tcPr>
          <w:p>
            <w:r>
              <w:rPr>
                <w:rFonts w:ascii="微软雅黑" w:hAnsi="微软雅黑" w:eastAsia="微软雅黑"/>
                <w:sz w:val="19"/>
              </w:rPr>
              <w:t>FR-01</w:t>
            </w:r>
          </w:p>
        </w:tc>
        <w:tc>
          <w:tcPr>
            <w:tcW w:type="dxa" w:w="4948"/>
          </w:tcPr>
          <w:p>
            <w:r>
              <w:rPr>
                <w:rFonts w:ascii="微软雅黑" w:hAnsi="微软雅黑" w:eastAsia="微软雅黑"/>
                <w:sz w:val="19"/>
              </w:rPr>
              <w:t>支付交易统一接入、智能路由、通道选择、状态跟踪、失败重试、异常处理与自动补偿</w:t>
            </w:r>
          </w:p>
        </w:tc>
        <w:tc>
          <w:tcPr>
            <w:tcW w:type="dxa" w:w="2002"/>
          </w:tcPr>
          <w:p>
            <w:r>
              <w:rPr>
                <w:rFonts w:ascii="微软雅黑" w:hAnsi="微软雅黑" w:eastAsia="微软雅黑"/>
                <w:sz w:val="19"/>
              </w:rPr>
              <w:t>赛题建设范围①</w:t>
            </w:r>
          </w:p>
        </w:tc>
        <w:tc>
          <w:tcPr>
            <w:tcW w:type="dxa" w:w="1060"/>
          </w:tcPr>
          <w:p>
            <w:r>
              <w:rPr>
                <w:rFonts w:ascii="微软雅黑" w:hAnsi="微软雅黑" w:eastAsia="微软雅黑"/>
                <w:sz w:val="19"/>
              </w:rPr>
              <w:t>Must</w:t>
            </w:r>
          </w:p>
        </w:tc>
      </w:tr>
      <w:tr>
        <w:tc>
          <w:tcPr>
            <w:tcW w:type="dxa" w:w="1060"/>
          </w:tcPr>
          <w:p>
            <w:r>
              <w:rPr>
                <w:rFonts w:ascii="微软雅黑" w:hAnsi="微软雅黑" w:eastAsia="微软雅黑"/>
                <w:sz w:val="19"/>
              </w:rPr>
              <w:t>FR-02</w:t>
            </w:r>
          </w:p>
        </w:tc>
        <w:tc>
          <w:tcPr>
            <w:tcW w:type="dxa" w:w="4948"/>
          </w:tcPr>
          <w:p>
            <w:r>
              <w:rPr>
                <w:rFonts w:ascii="微软雅黑" w:hAnsi="微软雅黑" w:eastAsia="微软雅黑"/>
                <w:sz w:val="19"/>
              </w:rPr>
              <w:t>基于规则/模型/实时计算的 AI 自动风控，含交易、账户、商户风险识别与异常行为检测</w:t>
            </w:r>
          </w:p>
        </w:tc>
        <w:tc>
          <w:tcPr>
            <w:tcW w:type="dxa" w:w="2002"/>
          </w:tcPr>
          <w:p>
            <w:r>
              <w:rPr>
                <w:rFonts w:ascii="微软雅黑" w:hAnsi="微软雅黑" w:eastAsia="微软雅黑"/>
                <w:sz w:val="19"/>
              </w:rPr>
              <w:t>赛题建设范围②</w:t>
            </w:r>
          </w:p>
        </w:tc>
        <w:tc>
          <w:tcPr>
            <w:tcW w:type="dxa" w:w="1060"/>
          </w:tcPr>
          <w:p>
            <w:r>
              <w:rPr>
                <w:rFonts w:ascii="微软雅黑" w:hAnsi="微软雅黑" w:eastAsia="微软雅黑"/>
                <w:sz w:val="19"/>
              </w:rPr>
              <w:t>Must</w:t>
            </w:r>
          </w:p>
        </w:tc>
      </w:tr>
      <w:tr>
        <w:tc>
          <w:tcPr>
            <w:tcW w:type="dxa" w:w="1060"/>
          </w:tcPr>
          <w:p>
            <w:r>
              <w:rPr>
                <w:rFonts w:ascii="微软雅黑" w:hAnsi="微软雅黑" w:eastAsia="微软雅黑"/>
                <w:sz w:val="19"/>
              </w:rPr>
              <w:t>FR-03</w:t>
            </w:r>
          </w:p>
        </w:tc>
        <w:tc>
          <w:tcPr>
            <w:tcW w:type="dxa" w:w="4948"/>
          </w:tcPr>
          <w:p>
            <w:r>
              <w:rPr>
                <w:rFonts w:ascii="微软雅黑" w:hAnsi="微软雅黑" w:eastAsia="微软雅黑"/>
                <w:sz w:val="19"/>
              </w:rPr>
              <w:t>实时预警与自动处置闭环（放行/二次验证/转人工/拦截）</w:t>
            </w:r>
          </w:p>
        </w:tc>
        <w:tc>
          <w:tcPr>
            <w:tcW w:type="dxa" w:w="2002"/>
          </w:tcPr>
          <w:p>
            <w:r>
              <w:rPr>
                <w:rFonts w:ascii="微软雅黑" w:hAnsi="微软雅黑" w:eastAsia="微软雅黑"/>
                <w:sz w:val="19"/>
              </w:rPr>
              <w:t>赛题建设范围②</w:t>
            </w:r>
          </w:p>
        </w:tc>
        <w:tc>
          <w:tcPr>
            <w:tcW w:type="dxa" w:w="1060"/>
          </w:tcPr>
          <w:p>
            <w:r>
              <w:rPr>
                <w:rFonts w:ascii="微软雅黑" w:hAnsi="微软雅黑" w:eastAsia="微软雅黑"/>
                <w:sz w:val="19"/>
              </w:rPr>
              <w:t>Must</w:t>
            </w:r>
          </w:p>
        </w:tc>
      </w:tr>
      <w:tr>
        <w:tc>
          <w:tcPr>
            <w:tcW w:type="dxa" w:w="1060"/>
          </w:tcPr>
          <w:p>
            <w:r>
              <w:rPr>
                <w:rFonts w:ascii="微软雅黑" w:hAnsi="微软雅黑" w:eastAsia="微软雅黑"/>
                <w:sz w:val="19"/>
              </w:rPr>
              <w:t>FR-04</w:t>
            </w:r>
          </w:p>
        </w:tc>
        <w:tc>
          <w:tcPr>
            <w:tcW w:type="dxa" w:w="4948"/>
          </w:tcPr>
          <w:p>
            <w:r>
              <w:rPr>
                <w:rFonts w:ascii="微软雅黑" w:hAnsi="微软雅黑" w:eastAsia="微软雅黑"/>
                <w:sz w:val="19"/>
              </w:rPr>
              <w:t>客户身份识别、交易审核、可疑行为识别、自动审核流转与人工复核协同</w:t>
            </w:r>
          </w:p>
        </w:tc>
        <w:tc>
          <w:tcPr>
            <w:tcW w:type="dxa" w:w="2002"/>
          </w:tcPr>
          <w:p>
            <w:r>
              <w:rPr>
                <w:rFonts w:ascii="微软雅黑" w:hAnsi="微软雅黑" w:eastAsia="微软雅黑"/>
                <w:sz w:val="19"/>
              </w:rPr>
              <w:t>赛题建设范围③</w:t>
            </w:r>
          </w:p>
        </w:tc>
        <w:tc>
          <w:tcPr>
            <w:tcW w:type="dxa" w:w="1060"/>
          </w:tcPr>
          <w:p>
            <w:r>
              <w:rPr>
                <w:rFonts w:ascii="微软雅黑" w:hAnsi="微软雅黑" w:eastAsia="微软雅黑"/>
                <w:sz w:val="19"/>
              </w:rPr>
              <w:t>Must</w:t>
            </w:r>
          </w:p>
        </w:tc>
      </w:tr>
      <w:tr>
        <w:tc>
          <w:tcPr>
            <w:tcW w:type="dxa" w:w="1060"/>
          </w:tcPr>
          <w:p>
            <w:r>
              <w:rPr>
                <w:rFonts w:ascii="微软雅黑" w:hAnsi="微软雅黑" w:eastAsia="微软雅黑"/>
                <w:sz w:val="19"/>
              </w:rPr>
              <w:t>FR-05</w:t>
            </w:r>
          </w:p>
        </w:tc>
        <w:tc>
          <w:tcPr>
            <w:tcW w:type="dxa" w:w="4948"/>
          </w:tcPr>
          <w:p>
            <w:r>
              <w:rPr>
                <w:rFonts w:ascii="微软雅黑" w:hAnsi="微软雅黑" w:eastAsia="微软雅黑"/>
                <w:sz w:val="19"/>
              </w:rPr>
              <w:t>统一审核标准、统一风险标签、统一处置口径与一致性评估机制</w:t>
            </w:r>
          </w:p>
        </w:tc>
        <w:tc>
          <w:tcPr>
            <w:tcW w:type="dxa" w:w="2002"/>
          </w:tcPr>
          <w:p>
            <w:r>
              <w:rPr>
                <w:rFonts w:ascii="微软雅黑" w:hAnsi="微软雅黑" w:eastAsia="微软雅黑"/>
                <w:sz w:val="19"/>
              </w:rPr>
              <w:t>赛题实现目标③</w:t>
            </w:r>
          </w:p>
        </w:tc>
        <w:tc>
          <w:tcPr>
            <w:tcW w:type="dxa" w:w="1060"/>
          </w:tcPr>
          <w:p>
            <w:r>
              <w:rPr>
                <w:rFonts w:ascii="微软雅黑" w:hAnsi="微软雅黑" w:eastAsia="微软雅黑"/>
                <w:sz w:val="19"/>
              </w:rPr>
              <w:t>Must</w:t>
            </w:r>
          </w:p>
        </w:tc>
      </w:tr>
      <w:tr>
        <w:tc>
          <w:tcPr>
            <w:tcW w:type="dxa" w:w="1060"/>
          </w:tcPr>
          <w:p>
            <w:r>
              <w:rPr>
                <w:rFonts w:ascii="微软雅黑" w:hAnsi="微软雅黑" w:eastAsia="微软雅黑"/>
                <w:sz w:val="19"/>
              </w:rPr>
              <w:t>FR-06</w:t>
            </w:r>
          </w:p>
        </w:tc>
        <w:tc>
          <w:tcPr>
            <w:tcW w:type="dxa" w:w="4948"/>
          </w:tcPr>
          <w:p>
            <w:r>
              <w:rPr>
                <w:rFonts w:ascii="微软雅黑" w:hAnsi="微软雅黑" w:eastAsia="微软雅黑"/>
                <w:sz w:val="19"/>
              </w:rPr>
              <w:t>差异分析、低置信度转人工、反馈回流与策略优化（持续优化闭环）</w:t>
            </w:r>
          </w:p>
        </w:tc>
        <w:tc>
          <w:tcPr>
            <w:tcW w:type="dxa" w:w="2002"/>
          </w:tcPr>
          <w:p>
            <w:r>
              <w:rPr>
                <w:rFonts w:ascii="微软雅黑" w:hAnsi="微软雅黑" w:eastAsia="微软雅黑"/>
                <w:sz w:val="19"/>
              </w:rPr>
              <w:t>赛题建设范围④</w:t>
            </w:r>
          </w:p>
        </w:tc>
        <w:tc>
          <w:tcPr>
            <w:tcW w:type="dxa" w:w="1060"/>
          </w:tcPr>
          <w:p>
            <w:r>
              <w:rPr>
                <w:rFonts w:ascii="微软雅黑" w:hAnsi="微软雅黑" w:eastAsia="微软雅黑"/>
                <w:sz w:val="19"/>
              </w:rPr>
              <w:t>Must</w:t>
            </w:r>
          </w:p>
        </w:tc>
      </w:tr>
      <w:tr>
        <w:tc>
          <w:tcPr>
            <w:tcW w:type="dxa" w:w="1060"/>
          </w:tcPr>
          <w:p>
            <w:r>
              <w:rPr>
                <w:rFonts w:ascii="微软雅黑" w:hAnsi="微软雅黑" w:eastAsia="微软雅黑"/>
                <w:sz w:val="19"/>
              </w:rPr>
              <w:t>FR-07</w:t>
            </w:r>
          </w:p>
        </w:tc>
        <w:tc>
          <w:tcPr>
            <w:tcW w:type="dxa" w:w="4948"/>
          </w:tcPr>
          <w:p>
            <w:r>
              <w:rPr>
                <w:rFonts w:ascii="微软雅黑" w:hAnsi="微软雅黑" w:eastAsia="微软雅黑"/>
                <w:sz w:val="19"/>
              </w:rPr>
              <w:t>指标监控、风险分析、策略评估、运营看板、趋势研判与决策建议输出</w:t>
            </w:r>
          </w:p>
        </w:tc>
        <w:tc>
          <w:tcPr>
            <w:tcW w:type="dxa" w:w="2002"/>
          </w:tcPr>
          <w:p>
            <w:r>
              <w:rPr>
                <w:rFonts w:ascii="微软雅黑" w:hAnsi="微软雅黑" w:eastAsia="微软雅黑"/>
                <w:sz w:val="19"/>
              </w:rPr>
              <w:t>赛题建设范围⑤</w:t>
            </w:r>
          </w:p>
        </w:tc>
        <w:tc>
          <w:tcPr>
            <w:tcW w:type="dxa" w:w="1060"/>
          </w:tcPr>
          <w:p>
            <w:r>
              <w:rPr>
                <w:rFonts w:ascii="微软雅黑" w:hAnsi="微软雅黑" w:eastAsia="微软雅黑"/>
                <w:sz w:val="19"/>
              </w:rPr>
              <w:t>Must</w:t>
            </w:r>
          </w:p>
        </w:tc>
      </w:tr>
      <w:tr>
        <w:tc>
          <w:tcPr>
            <w:tcW w:type="dxa" w:w="1060"/>
          </w:tcPr>
          <w:p>
            <w:r>
              <w:rPr>
                <w:rFonts w:ascii="微软雅黑" w:hAnsi="微软雅黑" w:eastAsia="微软雅黑"/>
                <w:sz w:val="19"/>
              </w:rPr>
              <w:t>FR-08</w:t>
            </w:r>
          </w:p>
        </w:tc>
        <w:tc>
          <w:tcPr>
            <w:tcW w:type="dxa" w:w="4948"/>
          </w:tcPr>
          <w:p>
            <w:r>
              <w:rPr>
                <w:rFonts w:ascii="微软雅黑" w:hAnsi="微软雅黑" w:eastAsia="微软雅黑"/>
                <w:sz w:val="19"/>
              </w:rPr>
              <w:t>跨境数据合规流转：分级加密、联邦学习、同态加密、差分隐私、匿踪查询</w:t>
            </w:r>
          </w:p>
        </w:tc>
        <w:tc>
          <w:tcPr>
            <w:tcW w:type="dxa" w:w="2002"/>
          </w:tcPr>
          <w:p>
            <w:r>
              <w:rPr>
                <w:rFonts w:ascii="微软雅黑" w:hAnsi="微软雅黑" w:eastAsia="微软雅黑"/>
                <w:sz w:val="19"/>
              </w:rPr>
              <w:t>赛题背景要求</w:t>
            </w:r>
          </w:p>
        </w:tc>
        <w:tc>
          <w:tcPr>
            <w:tcW w:type="dxa" w:w="1060"/>
          </w:tcPr>
          <w:p>
            <w:r>
              <w:rPr>
                <w:rFonts w:ascii="微软雅黑" w:hAnsi="微软雅黑" w:eastAsia="微软雅黑"/>
                <w:sz w:val="19"/>
              </w:rPr>
              <w:t>Must</w:t>
            </w:r>
          </w:p>
        </w:tc>
      </w:tr>
      <w:tr>
        <w:tc>
          <w:tcPr>
            <w:tcW w:type="dxa" w:w="1060"/>
          </w:tcPr>
          <w:p>
            <w:r>
              <w:rPr>
                <w:rFonts w:ascii="微软雅黑" w:hAnsi="微软雅黑" w:eastAsia="微软雅黑"/>
                <w:sz w:val="19"/>
              </w:rPr>
              <w:t>FR-09</w:t>
            </w:r>
          </w:p>
        </w:tc>
        <w:tc>
          <w:tcPr>
            <w:tcW w:type="dxa" w:w="4948"/>
          </w:tcPr>
          <w:p>
            <w:r>
              <w:rPr>
                <w:rFonts w:ascii="微软雅黑" w:hAnsi="微软雅黑" w:eastAsia="微软雅黑"/>
                <w:sz w:val="19"/>
              </w:rPr>
              <w:t>全流程审计追踪与区块链存证，满足监管调证</w:t>
            </w:r>
          </w:p>
        </w:tc>
        <w:tc>
          <w:tcPr>
            <w:tcW w:type="dxa" w:w="2002"/>
          </w:tcPr>
          <w:p>
            <w:r>
              <w:rPr>
                <w:rFonts w:ascii="微软雅黑" w:hAnsi="微软雅黑" w:eastAsia="微软雅黑"/>
                <w:sz w:val="19"/>
              </w:rPr>
              <w:t>赛题背景要求</w:t>
            </w:r>
          </w:p>
        </w:tc>
        <w:tc>
          <w:tcPr>
            <w:tcW w:type="dxa" w:w="1060"/>
          </w:tcPr>
          <w:p>
            <w:r>
              <w:rPr>
                <w:rFonts w:ascii="微软雅黑" w:hAnsi="微软雅黑" w:eastAsia="微软雅黑"/>
                <w:sz w:val="19"/>
              </w:rPr>
              <w:t>Must</w:t>
            </w:r>
          </w:p>
        </w:tc>
      </w:tr>
      <w:tr>
        <w:tc>
          <w:tcPr>
            <w:tcW w:type="dxa" w:w="1060"/>
          </w:tcPr>
          <w:p>
            <w:r>
              <w:rPr>
                <w:rFonts w:ascii="微软雅黑" w:hAnsi="微软雅黑" w:eastAsia="微软雅黑"/>
                <w:sz w:val="19"/>
              </w:rPr>
              <w:t>FR-10</w:t>
            </w:r>
          </w:p>
        </w:tc>
        <w:tc>
          <w:tcPr>
            <w:tcW w:type="dxa" w:w="4948"/>
          </w:tcPr>
          <w:p>
            <w:r>
              <w:rPr>
                <w:rFonts w:ascii="微软雅黑" w:hAnsi="微软雅黑" w:eastAsia="微软雅黑"/>
                <w:sz w:val="19"/>
              </w:rPr>
              <w:t>多端角色视图（运营/合规/监管/商户）与零信任权限管控</w:t>
            </w:r>
          </w:p>
        </w:tc>
        <w:tc>
          <w:tcPr>
            <w:tcW w:type="dxa" w:w="2002"/>
          </w:tcPr>
          <w:p>
            <w:r>
              <w:rPr>
                <w:rFonts w:ascii="微软雅黑" w:hAnsi="微软雅黑" w:eastAsia="微软雅黑"/>
                <w:sz w:val="19"/>
              </w:rPr>
              <w:t>业务调研</w:t>
            </w:r>
          </w:p>
        </w:tc>
        <w:tc>
          <w:tcPr>
            <w:tcW w:type="dxa" w:w="1060"/>
          </w:tcPr>
          <w:p>
            <w:r>
              <w:rPr>
                <w:rFonts w:ascii="微软雅黑" w:hAnsi="微软雅黑" w:eastAsia="微软雅黑"/>
                <w:sz w:val="19"/>
              </w:rPr>
              <w:t>Should</w:t>
            </w:r>
          </w:p>
        </w:tc>
      </w:tr>
      <w:tr>
        <w:tc>
          <w:tcPr>
            <w:tcW w:type="dxa" w:w="1060"/>
          </w:tcPr>
          <w:p>
            <w:r>
              <w:rPr>
                <w:rFonts w:ascii="微软雅黑" w:hAnsi="微软雅黑" w:eastAsia="微软雅黑"/>
                <w:sz w:val="19"/>
              </w:rPr>
              <w:t>FR-11</w:t>
            </w:r>
          </w:p>
        </w:tc>
        <w:tc>
          <w:tcPr>
            <w:tcW w:type="dxa" w:w="4948"/>
          </w:tcPr>
          <w:p>
            <w:r>
              <w:rPr>
                <w:rFonts w:ascii="微软雅黑" w:hAnsi="微软雅黑" w:eastAsia="微软雅黑"/>
                <w:sz w:val="19"/>
              </w:rPr>
              <w:t>智能合规报告生成（12 类报告模板）</w:t>
            </w:r>
          </w:p>
        </w:tc>
        <w:tc>
          <w:tcPr>
            <w:tcW w:type="dxa" w:w="2002"/>
          </w:tcPr>
          <w:p>
            <w:r>
              <w:rPr>
                <w:rFonts w:ascii="微软雅黑" w:hAnsi="微软雅黑" w:eastAsia="微软雅黑"/>
                <w:sz w:val="19"/>
              </w:rPr>
              <w:t>赛题背景要求</w:t>
            </w:r>
          </w:p>
        </w:tc>
        <w:tc>
          <w:tcPr>
            <w:tcW w:type="dxa" w:w="1060"/>
          </w:tcPr>
          <w:p>
            <w:r>
              <w:rPr>
                <w:rFonts w:ascii="微软雅黑" w:hAnsi="微软雅黑" w:eastAsia="微软雅黑"/>
                <w:sz w:val="19"/>
              </w:rPr>
              <w:t>Should</w:t>
            </w:r>
          </w:p>
        </w:tc>
      </w:tr>
      <w:tr>
        <w:tc>
          <w:tcPr>
            <w:tcW w:type="dxa" w:w="1060"/>
          </w:tcPr>
          <w:p>
            <w:r>
              <w:rPr>
                <w:rFonts w:ascii="微软雅黑" w:hAnsi="微软雅黑" w:eastAsia="微软雅黑"/>
                <w:sz w:val="19"/>
              </w:rPr>
              <w:t>FR-12</w:t>
            </w:r>
          </w:p>
        </w:tc>
        <w:tc>
          <w:tcPr>
            <w:tcW w:type="dxa" w:w="4948"/>
          </w:tcPr>
          <w:p>
            <w:r>
              <w:rPr>
                <w:rFonts w:ascii="微软雅黑" w:hAnsi="微软雅黑" w:eastAsia="微软雅黑"/>
                <w:sz w:val="19"/>
              </w:rPr>
              <w:t>AI 风控大脑数据流可视化（脑机结构展板）</w:t>
            </w:r>
          </w:p>
        </w:tc>
        <w:tc>
          <w:tcPr>
            <w:tcW w:type="dxa" w:w="2002"/>
          </w:tcPr>
          <w:p>
            <w:r>
              <w:rPr>
                <w:rFonts w:ascii="微软雅黑" w:hAnsi="微软雅黑" w:eastAsia="微软雅黑"/>
                <w:sz w:val="19"/>
              </w:rPr>
              <w:t>赛题名称要求</w:t>
            </w:r>
          </w:p>
        </w:tc>
        <w:tc>
          <w:tcPr>
            <w:tcW w:type="dxa" w:w="1060"/>
          </w:tcPr>
          <w:p>
            <w:r>
              <w:rPr>
                <w:rFonts w:ascii="微软雅黑" w:hAnsi="微软雅黑" w:eastAsia="微软雅黑"/>
                <w:sz w:val="19"/>
              </w:rPr>
              <w:t>Should</w:t>
            </w:r>
          </w:p>
        </w:tc>
      </w:tr>
    </w:tbl>
    <w:p/>
    <w:p>
      <w:pPr>
        <w:pStyle w:val="Heading2"/>
      </w:pPr>
      <w:r>
        <w:t>4.2 非功能性需求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4535"/>
        <w:gridCol w:w="3288"/>
      </w:tblGrid>
      <w:tr>
        <w:tc>
          <w:tcPr>
            <w:tcW w:type="dxa" w:w="1247"/>
            <w:shd w:val="clear" w:fill="1F5FD8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类别</w:t>
            </w:r>
          </w:p>
        </w:tc>
        <w:tc>
          <w:tcPr>
            <w:tcW w:type="dxa" w:w="4535"/>
            <w:shd w:val="clear" w:fill="1F5FD8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需求</w:t>
            </w:r>
          </w:p>
        </w:tc>
        <w:tc>
          <w:tcPr>
            <w:tcW w:type="dxa" w:w="3288"/>
            <w:shd w:val="clear" w:fill="1F5FD8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指标</w:t>
            </w:r>
          </w:p>
        </w:tc>
      </w:tr>
      <w:tr>
        <w:tc>
          <w:tcPr>
            <w:tcW w:type="dxa" w:w="1247"/>
          </w:tcPr>
          <w:p>
            <w:r>
              <w:rPr>
                <w:rFonts w:ascii="微软雅黑" w:hAnsi="微软雅黑" w:eastAsia="微软雅黑"/>
                <w:sz w:val="19"/>
              </w:rPr>
              <w:t>性能</w:t>
            </w:r>
          </w:p>
        </w:tc>
        <w:tc>
          <w:tcPr>
            <w:tcW w:type="dxa" w:w="4535"/>
          </w:tcPr>
          <w:p>
            <w:r>
              <w:rPr>
                <w:rFonts w:ascii="微软雅黑" w:hAnsi="微软雅黑" w:eastAsia="微软雅黑"/>
                <w:sz w:val="19"/>
              </w:rPr>
              <w:t>匿踪查询响应时间</w:t>
            </w:r>
          </w:p>
        </w:tc>
        <w:tc>
          <w:tcPr>
            <w:tcW w:type="dxa" w:w="3288"/>
          </w:tcPr>
          <w:p>
            <w:r>
              <w:rPr>
                <w:rFonts w:ascii="微软雅黑" w:hAnsi="微软雅黑" w:eastAsia="微软雅黑"/>
                <w:sz w:val="19"/>
              </w:rPr>
              <w:t>≤ 300 ms</w:t>
            </w:r>
          </w:p>
        </w:tc>
      </w:tr>
      <w:tr>
        <w:tc>
          <w:tcPr>
            <w:tcW w:type="dxa" w:w="1247"/>
          </w:tcPr>
          <w:p>
            <w:r>
              <w:rPr>
                <w:rFonts w:ascii="微软雅黑" w:hAnsi="微软雅黑" w:eastAsia="微软雅黑"/>
                <w:sz w:val="19"/>
              </w:rPr>
              <w:t>性能</w:t>
            </w:r>
          </w:p>
        </w:tc>
        <w:tc>
          <w:tcPr>
            <w:tcW w:type="dxa" w:w="4535"/>
          </w:tcPr>
          <w:p>
            <w:r>
              <w:rPr>
                <w:rFonts w:ascii="微软雅黑" w:hAnsi="微软雅黑" w:eastAsia="微软雅黑"/>
                <w:sz w:val="19"/>
              </w:rPr>
              <w:t>联邦训练端到端耗时（10 轮）</w:t>
            </w:r>
          </w:p>
        </w:tc>
        <w:tc>
          <w:tcPr>
            <w:tcW w:type="dxa" w:w="3288"/>
          </w:tcPr>
          <w:p>
            <w:r>
              <w:rPr>
                <w:rFonts w:ascii="微软雅黑" w:hAnsi="微软雅黑" w:eastAsia="微软雅黑"/>
                <w:sz w:val="19"/>
              </w:rPr>
              <w:t>≤ 10 s（演示规模）</w:t>
            </w:r>
          </w:p>
        </w:tc>
      </w:tr>
      <w:tr>
        <w:tc>
          <w:tcPr>
            <w:tcW w:type="dxa" w:w="1247"/>
          </w:tcPr>
          <w:p>
            <w:r>
              <w:rPr>
                <w:rFonts w:ascii="微软雅黑" w:hAnsi="微软雅黑" w:eastAsia="微软雅黑"/>
                <w:sz w:val="19"/>
              </w:rPr>
              <w:t>精度</w:t>
            </w:r>
          </w:p>
        </w:tc>
        <w:tc>
          <w:tcPr>
            <w:tcW w:type="dxa" w:w="4535"/>
          </w:tcPr>
          <w:p>
            <w:r>
              <w:rPr>
                <w:rFonts w:ascii="微软雅黑" w:hAnsi="微软雅黑" w:eastAsia="微软雅黑"/>
                <w:sz w:val="19"/>
              </w:rPr>
              <w:t>联邦模型 AUC / 漏检率</w:t>
            </w:r>
          </w:p>
        </w:tc>
        <w:tc>
          <w:tcPr>
            <w:tcW w:type="dxa" w:w="3288"/>
          </w:tcPr>
          <w:p>
            <w:r>
              <w:rPr>
                <w:rFonts w:ascii="微软雅黑" w:hAnsi="微软雅黑" w:eastAsia="微软雅黑"/>
                <w:sz w:val="19"/>
              </w:rPr>
              <w:t>≥ 0.80 / ≤ 7%</w:t>
            </w:r>
          </w:p>
        </w:tc>
      </w:tr>
      <w:tr>
        <w:tc>
          <w:tcPr>
            <w:tcW w:type="dxa" w:w="1247"/>
          </w:tcPr>
          <w:p>
            <w:r>
              <w:rPr>
                <w:rFonts w:ascii="微软雅黑" w:hAnsi="微软雅黑" w:eastAsia="微软雅黑"/>
                <w:sz w:val="19"/>
              </w:rPr>
              <w:t>精度</w:t>
            </w:r>
          </w:p>
        </w:tc>
        <w:tc>
          <w:tcPr>
            <w:tcW w:type="dxa" w:w="4535"/>
          </w:tcPr>
          <w:p>
            <w:r>
              <w:rPr>
                <w:rFonts w:ascii="微软雅黑" w:hAnsi="微软雅黑" w:eastAsia="微软雅黑"/>
                <w:sz w:val="19"/>
              </w:rPr>
              <w:t>联合统计误差率</w:t>
            </w:r>
          </w:p>
        </w:tc>
        <w:tc>
          <w:tcPr>
            <w:tcW w:type="dxa" w:w="3288"/>
          </w:tcPr>
          <w:p>
            <w:r>
              <w:rPr>
                <w:rFonts w:ascii="微软雅黑" w:hAnsi="微软雅黑" w:eastAsia="微软雅黑"/>
                <w:sz w:val="19"/>
              </w:rPr>
              <w:t>≤ 1%</w:t>
            </w:r>
          </w:p>
        </w:tc>
      </w:tr>
      <w:tr>
        <w:tc>
          <w:tcPr>
            <w:tcW w:type="dxa" w:w="1247"/>
          </w:tcPr>
          <w:p>
            <w:r>
              <w:rPr>
                <w:rFonts w:ascii="微软雅黑" w:hAnsi="微软雅黑" w:eastAsia="微软雅黑"/>
                <w:sz w:val="19"/>
              </w:rPr>
              <w:t>一致性</w:t>
            </w:r>
          </w:p>
        </w:tc>
        <w:tc>
          <w:tcPr>
            <w:tcW w:type="dxa" w:w="4535"/>
          </w:tcPr>
          <w:p>
            <w:r>
              <w:rPr>
                <w:rFonts w:ascii="微软雅黑" w:hAnsi="微软雅黑" w:eastAsia="微软雅黑"/>
                <w:sz w:val="19"/>
              </w:rPr>
              <w:t>AI 与人工审核一致性 / Kappa</w:t>
            </w:r>
          </w:p>
        </w:tc>
        <w:tc>
          <w:tcPr>
            <w:tcW w:type="dxa" w:w="3288"/>
          </w:tcPr>
          <w:p>
            <w:r>
              <w:rPr>
                <w:rFonts w:ascii="微软雅黑" w:hAnsi="微软雅黑" w:eastAsia="微软雅黑"/>
                <w:sz w:val="19"/>
              </w:rPr>
              <w:t>≥ 95% / ≥ 0.75</w:t>
            </w:r>
          </w:p>
        </w:tc>
      </w:tr>
      <w:tr>
        <w:tc>
          <w:tcPr>
            <w:tcW w:type="dxa" w:w="1247"/>
          </w:tcPr>
          <w:p>
            <w:r>
              <w:rPr>
                <w:rFonts w:ascii="微软雅黑" w:hAnsi="微软雅黑" w:eastAsia="微软雅黑"/>
                <w:sz w:val="19"/>
              </w:rPr>
              <w:t>安全</w:t>
            </w:r>
          </w:p>
        </w:tc>
        <w:tc>
          <w:tcPr>
            <w:tcW w:type="dxa" w:w="4535"/>
          </w:tcPr>
          <w:p>
            <w:r>
              <w:rPr>
                <w:rFonts w:ascii="微软雅黑" w:hAnsi="微软雅黑" w:eastAsia="微软雅黑"/>
                <w:sz w:val="19"/>
              </w:rPr>
              <w:t>P1 数据存储与传输加密</w:t>
            </w:r>
          </w:p>
        </w:tc>
        <w:tc>
          <w:tcPr>
            <w:tcW w:type="dxa" w:w="3288"/>
          </w:tcPr>
          <w:p>
            <w:r>
              <w:rPr>
                <w:rFonts w:ascii="微软雅黑" w:hAnsi="微软雅黑" w:eastAsia="微软雅黑"/>
                <w:sz w:val="19"/>
              </w:rPr>
              <w:t>SM4-CBC + HMAC / Paillier 双重加密</w:t>
            </w:r>
          </w:p>
        </w:tc>
      </w:tr>
      <w:tr>
        <w:tc>
          <w:tcPr>
            <w:tcW w:type="dxa" w:w="1247"/>
          </w:tcPr>
          <w:p>
            <w:r>
              <w:rPr>
                <w:rFonts w:ascii="微软雅黑" w:hAnsi="微软雅黑" w:eastAsia="微软雅黑"/>
                <w:sz w:val="19"/>
              </w:rPr>
              <w:t>合规</w:t>
            </w:r>
          </w:p>
        </w:tc>
        <w:tc>
          <w:tcPr>
            <w:tcW w:type="dxa" w:w="4535"/>
          </w:tcPr>
          <w:p>
            <w:r>
              <w:rPr>
                <w:rFonts w:ascii="微软雅黑" w:hAnsi="微软雅黑" w:eastAsia="微软雅黑"/>
                <w:sz w:val="19"/>
              </w:rPr>
              <w:t>审计日志留存</w:t>
            </w:r>
          </w:p>
        </w:tc>
        <w:tc>
          <w:tcPr>
            <w:tcW w:type="dxa" w:w="3288"/>
          </w:tcPr>
          <w:p>
            <w:r>
              <w:rPr>
                <w:rFonts w:ascii="微软雅黑" w:hAnsi="微软雅黑" w:eastAsia="微软雅黑"/>
                <w:sz w:val="19"/>
              </w:rPr>
              <w:t>按地区取最严（GDPR 7 年）</w:t>
            </w:r>
          </w:p>
        </w:tc>
      </w:tr>
      <w:tr>
        <w:tc>
          <w:tcPr>
            <w:tcW w:type="dxa" w:w="1247"/>
          </w:tcPr>
          <w:p>
            <w:r>
              <w:rPr>
                <w:rFonts w:ascii="微软雅黑" w:hAnsi="微软雅黑" w:eastAsia="微软雅黑"/>
                <w:sz w:val="19"/>
              </w:rPr>
              <w:t>可用性</w:t>
            </w:r>
          </w:p>
        </w:tc>
        <w:tc>
          <w:tcPr>
            <w:tcW w:type="dxa" w:w="4535"/>
          </w:tcPr>
          <w:p>
            <w:r>
              <w:rPr>
                <w:rFonts w:ascii="微软雅黑" w:hAnsi="微软雅黑" w:eastAsia="微软雅黑"/>
                <w:sz w:val="19"/>
              </w:rPr>
              <w:t>关键业务链路可解释、可追溯</w:t>
            </w:r>
          </w:p>
        </w:tc>
        <w:tc>
          <w:tcPr>
            <w:tcW w:type="dxa" w:w="3288"/>
          </w:tcPr>
          <w:p>
            <w:r>
              <w:rPr>
                <w:rFonts w:ascii="微软雅黑" w:hAnsi="微软雅黑" w:eastAsia="微软雅黑"/>
                <w:sz w:val="19"/>
              </w:rPr>
              <w:t>每条决策输出依据与证据链</w:t>
            </w:r>
          </w:p>
        </w:tc>
      </w:tr>
      <w:tr>
        <w:tc>
          <w:tcPr>
            <w:tcW w:type="dxa" w:w="1247"/>
          </w:tcPr>
          <w:p>
            <w:r>
              <w:rPr>
                <w:rFonts w:ascii="微软雅黑" w:hAnsi="微软雅黑" w:eastAsia="微软雅黑"/>
                <w:sz w:val="19"/>
              </w:rPr>
              <w:t>可维护</w:t>
            </w:r>
          </w:p>
        </w:tc>
        <w:tc>
          <w:tcPr>
            <w:tcW w:type="dxa" w:w="4535"/>
          </w:tcPr>
          <w:p>
            <w:r>
              <w:rPr>
                <w:rFonts w:ascii="微软雅黑" w:hAnsi="微软雅黑" w:eastAsia="微软雅黑"/>
                <w:sz w:val="19"/>
              </w:rPr>
              <w:t>代码静态检查与接口契约一致性</w:t>
            </w:r>
          </w:p>
        </w:tc>
        <w:tc>
          <w:tcPr>
            <w:tcW w:type="dxa" w:w="3288"/>
          </w:tcPr>
          <w:p>
            <w:r>
              <w:rPr>
                <w:rFonts w:ascii="微软雅黑" w:hAnsi="微软雅黑" w:eastAsia="微软雅黑"/>
                <w:sz w:val="19"/>
              </w:rPr>
              <w:t>0 悬空接口、语法检查全通过</w:t>
            </w:r>
          </w:p>
        </w:tc>
      </w:tr>
    </w:tbl>
    <w:p/>
    <w:p>
      <w:pPr>
        <w:pStyle w:val="Heading1"/>
      </w:pPr>
      <w:r>
        <w:t>五、需求追踪矩阵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3402"/>
        <w:gridCol w:w="2381"/>
        <w:gridCol w:w="1587"/>
      </w:tblGrid>
      <w:tr>
        <w:tc>
          <w:tcPr>
            <w:tcW w:type="dxa" w:w="1701"/>
            <w:shd w:val="clear" w:fill="1F5FD8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需求编号</w:t>
            </w:r>
          </w:p>
        </w:tc>
        <w:tc>
          <w:tcPr>
            <w:tcW w:type="dxa" w:w="3402"/>
            <w:shd w:val="clear" w:fill="1F5FD8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实现模块</w:t>
            </w:r>
          </w:p>
        </w:tc>
        <w:tc>
          <w:tcPr>
            <w:tcW w:type="dxa" w:w="2381"/>
            <w:shd w:val="clear" w:fill="1F5FD8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前端页面</w:t>
            </w:r>
          </w:p>
        </w:tc>
        <w:tc>
          <w:tcPr>
            <w:tcW w:type="dxa" w:w="1587"/>
            <w:shd w:val="clear" w:fill="1F5FD8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验证用例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9"/>
              </w:rPr>
              <w:t>FR-01</w:t>
            </w:r>
          </w:p>
        </w:tc>
        <w:tc>
          <w:tcPr>
            <w:tcW w:type="dxa" w:w="3402"/>
          </w:tcPr>
          <w:p>
            <w:r>
              <w:rPr>
                <w:rFonts w:ascii="微软雅黑" w:hAnsi="微软雅黑" w:eastAsia="微软雅黑"/>
                <w:sz w:val="19"/>
              </w:rPr>
              <w:t>backend/engine/payment.py、backend/api/ops.py</w:t>
            </w:r>
          </w:p>
        </w:tc>
        <w:tc>
          <w:tcPr>
            <w:tcW w:type="dxa" w:w="2381"/>
          </w:tcPr>
          <w:p>
            <w:r>
              <w:rPr>
                <w:rFonts w:ascii="微软雅黑" w:hAnsi="微软雅黑" w:eastAsia="微软雅黑"/>
                <w:sz w:val="19"/>
              </w:rPr>
              <w:t>/ops/payment、/ops/channels</w:t>
            </w:r>
          </w:p>
        </w:tc>
        <w:tc>
          <w:tcPr>
            <w:tcW w:type="dxa" w:w="1587"/>
          </w:tcPr>
          <w:p>
            <w:r>
              <w:rPr>
                <w:rFonts w:ascii="微软雅黑" w:hAnsi="微软雅黑" w:eastAsia="微软雅黑"/>
                <w:sz w:val="19"/>
              </w:rPr>
              <w:t>端到端 11 组 9 项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9"/>
              </w:rPr>
              <w:t>FR-02 / FR-03</w:t>
            </w:r>
          </w:p>
        </w:tc>
        <w:tc>
          <w:tcPr>
            <w:tcW w:type="dxa" w:w="3402"/>
          </w:tcPr>
          <w:p>
            <w:r>
              <w:rPr>
                <w:rFonts w:ascii="微软雅黑" w:hAnsi="微软雅黑" w:eastAsia="微软雅黑"/>
                <w:sz w:val="19"/>
              </w:rPr>
              <w:t>backend/engine/monitoring.py</w:t>
            </w:r>
          </w:p>
        </w:tc>
        <w:tc>
          <w:tcPr>
            <w:tcW w:type="dxa" w:w="2381"/>
          </w:tcPr>
          <w:p>
            <w:r>
              <w:rPr>
                <w:rFonts w:ascii="微软雅黑" w:hAnsi="微软雅黑" w:eastAsia="微软雅黑"/>
                <w:sz w:val="19"/>
              </w:rPr>
              <w:t>/ops/monitoring</w:t>
            </w:r>
          </w:p>
        </w:tc>
        <w:tc>
          <w:tcPr>
            <w:tcW w:type="dxa" w:w="1587"/>
          </w:tcPr>
          <w:p>
            <w:r>
              <w:rPr>
                <w:rFonts w:ascii="微软雅黑" w:hAnsi="微软雅黑" w:eastAsia="微软雅黑"/>
                <w:sz w:val="19"/>
              </w:rPr>
              <w:t>端到端 11 组 5 项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9"/>
              </w:rPr>
              <w:t>FR-04 / FR-05 / FR-06</w:t>
            </w:r>
          </w:p>
        </w:tc>
        <w:tc>
          <w:tcPr>
            <w:tcW w:type="dxa" w:w="3402"/>
          </w:tcPr>
          <w:p>
            <w:r>
              <w:rPr>
                <w:rFonts w:ascii="微软雅黑" w:hAnsi="微软雅黑" w:eastAsia="微软雅黑"/>
                <w:sz w:val="19"/>
              </w:rPr>
              <w:t>backend/engine/review.py</w:t>
            </w:r>
          </w:p>
        </w:tc>
        <w:tc>
          <w:tcPr>
            <w:tcW w:type="dxa" w:w="2381"/>
          </w:tcPr>
          <w:p>
            <w:r>
              <w:rPr>
                <w:rFonts w:ascii="微软雅黑" w:hAnsi="微软雅黑" w:eastAsia="微软雅黑"/>
                <w:sz w:val="19"/>
              </w:rPr>
              <w:t>/ops/review、/ops/standard</w:t>
            </w:r>
          </w:p>
        </w:tc>
        <w:tc>
          <w:tcPr>
            <w:tcW w:type="dxa" w:w="1587"/>
          </w:tcPr>
          <w:p>
            <w:r>
              <w:rPr>
                <w:rFonts w:ascii="微软雅黑" w:hAnsi="微软雅黑" w:eastAsia="微软雅黑"/>
                <w:sz w:val="19"/>
              </w:rPr>
              <w:t>端到端 11 组 8 项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9"/>
              </w:rPr>
              <w:t>FR-07</w:t>
            </w:r>
          </w:p>
        </w:tc>
        <w:tc>
          <w:tcPr>
            <w:tcW w:type="dxa" w:w="3402"/>
          </w:tcPr>
          <w:p>
            <w:r>
              <w:rPr>
                <w:rFonts w:ascii="微软雅黑" w:hAnsi="微软雅黑" w:eastAsia="微软雅黑"/>
                <w:sz w:val="19"/>
              </w:rPr>
              <w:t>backend/engine/review.py（decision_advice）</w:t>
            </w:r>
          </w:p>
        </w:tc>
        <w:tc>
          <w:tcPr>
            <w:tcW w:type="dxa" w:w="2381"/>
          </w:tcPr>
          <w:p>
            <w:r>
              <w:rPr>
                <w:rFonts w:ascii="微软雅黑" w:hAnsi="微软雅黑" w:eastAsia="微软雅黑"/>
                <w:sz w:val="19"/>
              </w:rPr>
              <w:t>/ops/decision</w:t>
            </w:r>
          </w:p>
        </w:tc>
        <w:tc>
          <w:tcPr>
            <w:tcW w:type="dxa" w:w="1587"/>
          </w:tcPr>
          <w:p>
            <w:r>
              <w:rPr>
                <w:rFonts w:ascii="微软雅黑" w:hAnsi="微软雅黑" w:eastAsia="微软雅黑"/>
                <w:sz w:val="19"/>
              </w:rPr>
              <w:t>端到端 11 组 2 项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9"/>
              </w:rPr>
              <w:t>FR-08</w:t>
            </w:r>
          </w:p>
        </w:tc>
        <w:tc>
          <w:tcPr>
            <w:tcW w:type="dxa" w:w="3402"/>
          </w:tcPr>
          <w:p>
            <w:r>
              <w:rPr>
                <w:rFonts w:ascii="微软雅黑" w:hAnsi="微软雅黑" w:eastAsia="微软雅黑"/>
                <w:sz w:val="19"/>
              </w:rPr>
              <w:t>backend/crypto/*、backend/engine/*</w:t>
            </w:r>
          </w:p>
        </w:tc>
        <w:tc>
          <w:tcPr>
            <w:tcW w:type="dxa" w:w="2381"/>
          </w:tcPr>
          <w:p>
            <w:r>
              <w:rPr>
                <w:rFonts w:ascii="微软雅黑" w:hAnsi="微软雅黑" w:eastAsia="微软雅黑"/>
                <w:sz w:val="19"/>
              </w:rPr>
              <w:t>/engine/*</w:t>
            </w:r>
          </w:p>
        </w:tc>
        <w:tc>
          <w:tcPr>
            <w:tcW w:type="dxa" w:w="1587"/>
          </w:tcPr>
          <w:p>
            <w:r>
              <w:rPr>
                <w:rFonts w:ascii="微软雅黑" w:hAnsi="微软雅黑" w:eastAsia="微软雅黑"/>
                <w:sz w:val="19"/>
              </w:rPr>
              <w:t>单元测试 7 项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9"/>
              </w:rPr>
              <w:t>FR-09</w:t>
            </w:r>
          </w:p>
        </w:tc>
        <w:tc>
          <w:tcPr>
            <w:tcW w:type="dxa" w:w="3402"/>
          </w:tcPr>
          <w:p>
            <w:r>
              <w:rPr>
                <w:rFonts w:ascii="微软雅黑" w:hAnsi="微软雅黑" w:eastAsia="微软雅黑"/>
                <w:sz w:val="19"/>
              </w:rPr>
              <w:t>backend/audit.py、backend/api/audit.py</w:t>
            </w:r>
          </w:p>
        </w:tc>
        <w:tc>
          <w:tcPr>
            <w:tcW w:type="dxa" w:w="2381"/>
          </w:tcPr>
          <w:p>
            <w:r>
              <w:rPr>
                <w:rFonts w:ascii="微软雅黑" w:hAnsi="微软雅黑" w:eastAsia="微软雅黑"/>
                <w:sz w:val="19"/>
              </w:rPr>
              <w:t>/audit/*</w:t>
            </w:r>
          </w:p>
        </w:tc>
        <w:tc>
          <w:tcPr>
            <w:tcW w:type="dxa" w:w="1587"/>
          </w:tcPr>
          <w:p>
            <w:r>
              <w:rPr>
                <w:rFonts w:ascii="微软雅黑" w:hAnsi="微软雅黑" w:eastAsia="微软雅黑"/>
                <w:sz w:val="19"/>
              </w:rPr>
              <w:t>端到端 9 组 5 项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9"/>
              </w:rPr>
              <w:t>FR-10</w:t>
            </w:r>
          </w:p>
        </w:tc>
        <w:tc>
          <w:tcPr>
            <w:tcW w:type="dxa" w:w="3402"/>
          </w:tcPr>
          <w:p>
            <w:r>
              <w:rPr>
                <w:rFonts w:ascii="微软雅黑" w:hAnsi="微软雅黑" w:eastAsia="微软雅黑"/>
                <w:sz w:val="19"/>
              </w:rPr>
              <w:t>backend/utils/deps.py、frontend/src/router</w:t>
            </w:r>
          </w:p>
        </w:tc>
        <w:tc>
          <w:tcPr>
            <w:tcW w:type="dxa" w:w="2381"/>
          </w:tcPr>
          <w:p>
            <w:r>
              <w:rPr>
                <w:rFonts w:ascii="微软雅黑" w:hAnsi="微软雅黑" w:eastAsia="微软雅黑"/>
                <w:sz w:val="19"/>
              </w:rPr>
              <w:t>全站</w:t>
            </w:r>
          </w:p>
        </w:tc>
        <w:tc>
          <w:tcPr>
            <w:tcW w:type="dxa" w:w="1587"/>
          </w:tcPr>
          <w:p>
            <w:r>
              <w:rPr>
                <w:rFonts w:ascii="微软雅黑" w:hAnsi="微软雅黑" w:eastAsia="微软雅黑"/>
                <w:sz w:val="19"/>
              </w:rPr>
              <w:t>端到端 12 组 5 项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9"/>
              </w:rPr>
              <w:t>FR-11</w:t>
            </w:r>
          </w:p>
        </w:tc>
        <w:tc>
          <w:tcPr>
            <w:tcW w:type="dxa" w:w="3402"/>
          </w:tcPr>
          <w:p>
            <w:r>
              <w:rPr>
                <w:rFonts w:ascii="微软雅黑" w:hAnsi="微软雅黑" w:eastAsia="微软雅黑"/>
                <w:sz w:val="19"/>
              </w:rPr>
              <w:t>backend/compliance/reports.py</w:t>
            </w:r>
          </w:p>
        </w:tc>
        <w:tc>
          <w:tcPr>
            <w:tcW w:type="dxa" w:w="2381"/>
          </w:tcPr>
          <w:p>
            <w:r>
              <w:rPr>
                <w:rFonts w:ascii="微软雅黑" w:hAnsi="微软雅黑" w:eastAsia="微软雅黑"/>
                <w:sz w:val="19"/>
              </w:rPr>
              <w:t>/compliance/reports</w:t>
            </w:r>
          </w:p>
        </w:tc>
        <w:tc>
          <w:tcPr>
            <w:tcW w:type="dxa" w:w="1587"/>
          </w:tcPr>
          <w:p>
            <w:r>
              <w:rPr>
                <w:rFonts w:ascii="微软雅黑" w:hAnsi="微软雅黑" w:eastAsia="微软雅黑"/>
                <w:sz w:val="19"/>
              </w:rPr>
              <w:t>端到端 5 组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9"/>
              </w:rPr>
              <w:t>FR-12</w:t>
            </w:r>
          </w:p>
        </w:tc>
        <w:tc>
          <w:tcPr>
            <w:tcW w:type="dxa" w:w="3402"/>
          </w:tcPr>
          <w:p>
            <w:r>
              <w:rPr>
                <w:rFonts w:ascii="微软雅黑" w:hAnsi="微软雅黑" w:eastAsia="微软雅黑"/>
                <w:sz w:val="19"/>
              </w:rPr>
              <w:t>backend/api/brain.py</w:t>
            </w:r>
          </w:p>
        </w:tc>
        <w:tc>
          <w:tcPr>
            <w:tcW w:type="dxa" w:w="2381"/>
          </w:tcPr>
          <w:p>
            <w:r>
              <w:rPr>
                <w:rFonts w:ascii="微软雅黑" w:hAnsi="微软雅黑" w:eastAsia="微软雅黑"/>
                <w:sz w:val="19"/>
              </w:rPr>
              <w:t>/brain</w:t>
            </w:r>
          </w:p>
        </w:tc>
        <w:tc>
          <w:tcPr>
            <w:tcW w:type="dxa" w:w="1587"/>
          </w:tcPr>
          <w:p>
            <w:r>
              <w:rPr>
                <w:rFonts w:ascii="微软雅黑" w:hAnsi="微软雅黑" w:eastAsia="微软雅黑"/>
                <w:sz w:val="19"/>
              </w:rPr>
              <w:t>端到端 10 组 7 项</w:t>
            </w:r>
          </w:p>
        </w:tc>
      </w:tr>
    </w:tbl>
    <w:p/>
    <w:p>
      <w:pPr>
        <w:pStyle w:val="Heading1"/>
      </w:pPr>
      <w:r>
        <w:t>六、调研结论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跨境支付场景的核心矛盾是「数据价值释放」与「隐私合规约束」的对立，必须以隐私计算为底座而非事后补救；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赛题五大建设范围构成一条完整业务链路（支付 → 风控 → 审核 → 一致性 → 决策），任何一环缺失都会使闭环断裂；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AI 审核要真正落地，前提是**可度量的一致性**与**可回滚的策略优化**，否则无法取得合规团队信任；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所有风控决策必须具备可解释证据链，这是跨境合规场景区别于一般推荐场景的关键要求；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11 项功能需求中 9 项为 Must 级，均已在本平台实现并通过端到端验证（详见《测试方案与测试报告》）。</w:t>
      </w:r>
    </w:p>
    <w:sectPr w:rsidR="00FC693F" w:rsidRPr="0006063C" w:rsidSect="00034616">
      <w:pgSz w:w="12240" w:h="15840"/>
      <w:pgMar w:top="1361" w:right="1361" w:bottom="1247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8" w:lineRule="auto" w:after="80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F5FD8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F5FD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F2733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