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总体建设方案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任务清单（2）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代码规模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行（Vue 17,108 行、Python 12,961 行）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功能规模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 个业务蓝图 / 116 条 API / 31 张数据表 / 29 个页面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t>一、建设目标</w:t>
      </w:r>
    </w:p>
    <w:p>
      <w:r>
        <w:rPr>
          <w:rFonts w:ascii="微软雅黑" w:hAnsi="微软雅黑" w:eastAsia="微软雅黑"/>
          <w:b w:val="0"/>
        </w:rPr>
        <w:t>构建面向全球支付业务的一体化智能支撑体系，覆盖支付、风控、合规、监测、识别与运营决策关键环节，形成统一的数据底座、智能引擎与业务应用能力，实现业务流程协同、风险联防联控与运营分析闭环。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3402"/>
      </w:tblGrid>
      <w:tr>
        <w:tc>
          <w:tcPr>
            <w:tcW w:type="dxa" w:w="20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6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量化指标</w:t>
            </w:r>
          </w:p>
        </w:tc>
        <w:tc>
          <w:tcPr>
            <w:tcW w:type="dxa" w:w="340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达成情况</w:t>
            </w:r>
          </w:p>
        </w:tc>
      </w:tr>
      <w:tr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支付链路智能化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成功率 ≥95%（正常通道）、失败自动重试与补偿闭环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已实现（演练注入 20% 故障下成功率 81.6%）</w:t>
            </w:r>
          </w:p>
        </w:tc>
      </w:tr>
      <w:tr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风控自动化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异常检出规则化、处置自动闭环、预警可解释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已实现（6 条规则 + 组合加成 + 四档处置）</w:t>
            </w:r>
          </w:p>
        </w:tc>
      </w:tr>
      <w:tr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审核智能化与一致性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一致性 ≥95%、Kappa ≥0.75、自动化率 ≥60%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已实现（96.0% / 0.907 / 62.5%）</w:t>
            </w:r>
          </w:p>
        </w:tc>
      </w:tr>
      <w:tr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数据合规流通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原始数据不出域、统计误差 ≤1%、模型精度损失 ≤0.02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已实现（0.038% / 0.0062）</w:t>
            </w:r>
          </w:p>
        </w:tc>
      </w:tr>
      <w:tr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运营决策支撑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指标监控 + 策略评估 + 决策建议输出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已实现（3 类建议含优先级与责任角色）</w:t>
            </w:r>
          </w:p>
        </w:tc>
      </w:tr>
      <w:tr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全流程可追溯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操作与决策全部上链存证、篡改可检出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已实现（链式哈希 + 篡改定位）</w:t>
            </w:r>
          </w:p>
        </w:tc>
      </w:tr>
    </w:tbl>
    <w:p/>
    <w:p>
      <w:pPr>
        <w:pStyle w:val="Heading1"/>
      </w:pPr>
      <w:r>
        <w:t>二、建设原则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合规即基础设施：把监管要求内化为平台能力（规则引擎 + 分级加密 + 存证），而非流程上的合规检查点；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数据可用不可见：能力建设不依赖原始数据集中，跨域能力通过隐私计算实现；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可解释优先：所有 AI 决策输出证据链，拒不接受无法举证的判断；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闭环自证：一致性、优化、处置均以量化指标自证有效，可回放、可对比、可回滚；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渐进式演进：演示环境用 SQLite + 单进程仿真，生产环境平滑替换为分布式与硬件加速。</w:t>
      </w:r>
    </w:p>
    <w:p>
      <w:pPr>
        <w:pStyle w:val="Heading1"/>
      </w:pPr>
      <w:r>
        <w:t>三、总体架构</w:t>
      </w:r>
    </w:p>
    <w:p>
      <w:pPr>
        <w:pStyle w:val="Heading2"/>
      </w:pPr>
      <w:r>
        <w:t>3.1 四层架构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268"/>
        <w:gridCol w:w="5329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26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532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主要组成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业务应用层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面向四类角色的场景化应用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AI 风控大脑展板、支付智能处理、风控监测、AI 审核一致性、合规审核与报告、数据授权、隐私预算、血缘溯源、审计存证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智能引擎层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算法与决策能力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联邦学习引擎、同态加密引擎、差分隐私引擎、隐私求交/匿踪查询引擎、合规规则引擎、智能分级引擎、智能路由引擎、审核一致性引擎、异常检测引擎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数据底座层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统一数据与治理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交易库、商户主数据、制裁清单库、法规库、授权与预算台账、血缘图谱、审计与存证链（31 张表）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基础设施层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运行支撑</w:t>
            </w:r>
          </w:p>
        </w:tc>
        <w:tc>
          <w:tcPr>
            <w:tcW w:type="dxa" w:w="5329"/>
          </w:tcPr>
          <w:p>
            <w:r>
              <w:rPr>
                <w:rFonts w:ascii="微软雅黑" w:hAnsi="微软雅黑" w:eastAsia="微软雅黑"/>
                <w:sz w:val="19"/>
              </w:rPr>
              <w:t>Flask 应用服务、SQLAlchemy ORM、SQLite/MySQL、JWT 鉴权、审计与熔断、Vite 前端构建</w:t>
            </w:r>
          </w:p>
        </w:tc>
      </w:tr>
    </w:tbl>
    <w:p/>
    <w:p>
      <w:pPr>
        <w:pStyle w:val="Heading2"/>
      </w:pPr>
      <w:r>
        <w:t>3.2 技术选型与理由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75"/>
        <w:gridCol w:w="4309"/>
      </w:tblGrid>
      <w:tr>
        <w:tc>
          <w:tcPr>
            <w:tcW w:type="dxa" w:w="15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317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选型</w:t>
            </w:r>
          </w:p>
        </w:tc>
        <w:tc>
          <w:tcPr>
            <w:tcW w:type="dxa" w:w="430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前端框架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Vue 3（组合式 API）+ Element Plus + Vite 5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组合式 API 便于按业务域拆分；Element Plus 后台组件完备；Vite 冷启动快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状态与路由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Pinia + vue-router（hash 模式）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hash 模式无需服务端重写规则，便于交付与离线演示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可视化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ECharts（全量引入）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脑机展板需要 graphic/lines/effect 等高级能力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后端框架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Flask 3 + 蓝图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轻量、易读、便于按赛题五大能力拆分蓝图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ORM/数据库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SQLAlchemy 2 + SQLite（可切 MySQL/国产库）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演示零依赖，生产通过 DATABASE_URL 平滑切换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密码算法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pycryptodome + 自研国密 SM4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SM4 需符合 GB/T 32907-2016，自研实现已通过国标向量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鉴权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PyJWT（HS256）+ 令牌黑名单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无状态鉴权 + 可即时失效</w:t>
            </w:r>
          </w:p>
        </w:tc>
      </w:tr>
      <w:tr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区块链语义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自研链式哈希存证（Fabric/Raft 语义）</w:t>
            </w:r>
          </w:p>
        </w:tc>
        <w:tc>
          <w:tcPr>
            <w:tcW w:type="dxa" w:w="4309"/>
          </w:tcPr>
          <w:p>
            <w:r>
              <w:rPr>
                <w:rFonts w:ascii="微软雅黑" w:hAnsi="微软雅黑" w:eastAsia="微软雅黑"/>
                <w:sz w:val="19"/>
              </w:rPr>
              <w:t>演示环境无需部署真实链，语义与接口对齐便于替换</w:t>
            </w:r>
          </w:p>
        </w:tc>
      </w:tr>
    </w:tbl>
    <w:p/>
    <w:p>
      <w:pPr>
        <w:pStyle w:val="Heading1"/>
      </w:pPr>
      <w:r>
        <w:t>四、五大能力建设内容</w:t>
      </w:r>
    </w:p>
    <w:p>
      <w:pPr>
        <w:pStyle w:val="Heading2"/>
      </w:pPr>
      <w:r>
        <w:t>4.1 支付智能处理能力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通道池管理：7 条通道（直连、SEPA、ACH、FAST、卡组织、中东本地、非洲代理行），含费率、成功率、时延、限额、健康状态；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智能路由：成本 40% / 成功率 30% / 时效 20% / 合规 10% 四目标加权，合规前置排除受限目的地与不合规通道；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状态跟踪：10 状态机全链路留痕，每笔订单保留完整事件流；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失败重试：最多 2 次，指数退避 200ms/600ms，自动切换备用通道；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自动补偿：重试耗尽生成补偿单（改道重发或原路退回）并上链存证。</w:t>
      </w:r>
    </w:p>
    <w:p>
      <w:pPr>
        <w:pStyle w:val="Heading2"/>
      </w:pPr>
      <w:r>
        <w:t>4.2 智能风控与异常监测能力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6 条可解释检测规则，按「商户 × 小时」时间窗统计，避免窗口口径错误导致预警失真；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组合风险加成：多规则叠加时风险升级，对应反洗钱实务中的多红旗判定；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统一处置口径：自动放行 / 二次验证 / 转人工复核 / 自动拦截；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自动处置 + 人工确认闭环，预警量可控可解释。</w:t>
      </w:r>
    </w:p>
    <w:p>
      <w:pPr>
        <w:pStyle w:val="Heading2"/>
      </w:pPr>
      <w:r>
        <w:t>4.3 智能合规审核能力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合规规则引擎：画布式编排（5 触发 / 10 判断 / 6 动作节点），支持 9 种操作符；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智能分级：9 类字段级识别规则，自动判定 P1/P2/P3 并给出判定依据；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数据授权与隐私预算：授权申请、双人复核、预算分配与超支拦截；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合规报告：12 类报告模板，自动纳入留存年限等法规要求。</w:t>
      </w:r>
    </w:p>
    <w:p>
      <w:pPr>
        <w:pStyle w:val="Heading2"/>
      </w:pPr>
      <w:r>
        <w:t>4.4 AI 审核一致性管理能力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统一标准：AI 与人工共用三分类结论口径与风险标签体系；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一致性评估：核心一致性、总体协同率、Cohen's Kappa、混淆矩阵、漏放/误拦、按风险与置信度分层；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差异回流：分歧样本归因，定向调整规则权重；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持续优化：候选策略网格复盘 + 两条硬约束 + 综合得分择优，支持一键应用与回滚。</w:t>
      </w:r>
    </w:p>
    <w:p>
      <w:pPr>
        <w:pStyle w:val="Heading2"/>
      </w:pPr>
      <w:r>
        <w:t>4.5 运营决策支撑能力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一体化看板：支付、审核、监测三组指标集中呈现；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策略评估：六维归一化雷达对比当前策略与目标基线；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趋势研判：交易趋势折线 + 分类研判结论；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决策建议：带优先级（P0/P1/P2）、依据、动作、责任角色与预期收益的可执行建议。</w:t>
      </w:r>
    </w:p>
    <w:p>
      <w:pPr>
        <w:pStyle w:val="Heading1"/>
      </w:pPr>
      <w:r>
        <w:t>五、部署架构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587"/>
        <w:gridCol w:w="4535"/>
        <w:gridCol w:w="1587"/>
      </w:tblGrid>
      <w:tr>
        <w:tc>
          <w:tcPr>
            <w:tcW w:type="dxa" w:w="13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环境</w:t>
            </w:r>
          </w:p>
        </w:tc>
        <w:tc>
          <w:tcPr>
            <w:tcW w:type="dxa" w:w="15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部署形态</w:t>
            </w:r>
          </w:p>
        </w:tc>
        <w:tc>
          <w:tcPr>
            <w:tcW w:type="dxa" w:w="453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158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演示环境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单机单进程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Flask 内置服务器 + SQLite + Vite 开发服务器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评审演示、本地开发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生产建议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分布式多节点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Nginx + Gunicorn/uWSGI 多进程 + MySQL 主从 + Redis 缓存 + HashiCorp Vault/KMS 密钥托管 + Hyperledger Fabric 联盟链 + 硬件加密卡</w:t>
            </w:r>
          </w:p>
        </w:tc>
        <w:tc>
          <w:tcPr>
            <w:tcW w:type="dxa" w:w="1587"/>
          </w:tcPr>
          <w:p>
            <w:r>
              <w:rPr>
                <w:rFonts w:ascii="微软雅黑" w:hAnsi="微软雅黑" w:eastAsia="微软雅黑"/>
                <w:sz w:val="19"/>
              </w:rPr>
              <w:t>真实业务上线</w:t>
            </w:r>
          </w:p>
        </w:tc>
      </w:tr>
    </w:tbl>
    <w:p/>
    <w:p>
      <w:pPr>
        <w:ind w:left="227"/>
      </w:pPr>
      <w:r>
        <w:rPr>
          <w:rFonts w:ascii="微软雅黑" w:hAnsi="微软雅黑" w:eastAsia="微软雅黑"/>
          <w:i/>
          <w:color w:val="5C6B7F"/>
          <w:sz w:val="19"/>
        </w:rPr>
        <w:t>切换方式：后端通过 DATABASE_URL 切换数据库，通过配置项切换加密与链实现，业务代码无需改动（已在架构上预留扩展点，详见《系统架构设计文档》第十章）。</w:t>
      </w:r>
    </w:p>
    <w:p>
      <w:pPr>
        <w:pStyle w:val="Heading1"/>
      </w:pPr>
      <w:r>
        <w:t>六、建设计划与里程碑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1"/>
        <w:gridCol w:w="3415"/>
        <w:gridCol w:w="2348"/>
        <w:gridCol w:w="1067"/>
      </w:tblGrid>
      <w:tr>
        <w:tc>
          <w:tcPr>
            <w:tcW w:type="dxa" w:w="22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41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34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产出物</w:t>
            </w:r>
          </w:p>
        </w:tc>
        <w:tc>
          <w:tcPr>
            <w:tcW w:type="dxa" w:w="106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241"/>
          </w:tcPr>
          <w:p>
            <w:r>
              <w:rPr>
                <w:rFonts w:ascii="微软雅黑" w:hAnsi="微软雅黑" w:eastAsia="微软雅黑"/>
                <w:sz w:val="19"/>
              </w:rPr>
              <w:t>第一阶段：底座与隐私计算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数据分级、加密、联邦学习、同态、差分隐私、PSI、审计存证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引擎模块 + 14 项单元测试</w:t>
            </w:r>
          </w:p>
        </w:tc>
        <w:tc>
          <w:tcPr>
            <w:tcW w:type="dxa" w:w="1067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2241"/>
          </w:tcPr>
          <w:p>
            <w:r>
              <w:rPr>
                <w:rFonts w:ascii="微软雅黑" w:hAnsi="微软雅黑" w:eastAsia="微软雅黑"/>
                <w:sz w:val="19"/>
              </w:rPr>
              <w:t>第二阶段：业务能力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支付处理、风控监测、合规审核、授权预算、血缘溯源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蓝图与页面 + 端到端用例</w:t>
            </w:r>
          </w:p>
        </w:tc>
        <w:tc>
          <w:tcPr>
            <w:tcW w:type="dxa" w:w="1067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2241"/>
          </w:tcPr>
          <w:p>
            <w:r>
              <w:rPr>
                <w:rFonts w:ascii="微软雅黑" w:hAnsi="微软雅黑" w:eastAsia="微软雅黑"/>
                <w:sz w:val="19"/>
              </w:rPr>
              <w:t>第三阶段：AI 审核一致性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统一口径、一致性评估、差异回流、策略寻优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一致性引擎 + 管理页面</w:t>
            </w:r>
          </w:p>
        </w:tc>
        <w:tc>
          <w:tcPr>
            <w:tcW w:type="dxa" w:w="1067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2241"/>
          </w:tcPr>
          <w:p>
            <w:r>
              <w:rPr>
                <w:rFonts w:ascii="微软雅黑" w:hAnsi="微软雅黑" w:eastAsia="微软雅黑"/>
                <w:sz w:val="19"/>
              </w:rPr>
              <w:t>第四阶段：大脑可视化与决策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脑机结构展板、运营决策建议、控制台整合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17 脑区展板 + 决策页</w:t>
            </w:r>
          </w:p>
        </w:tc>
        <w:tc>
          <w:tcPr>
            <w:tcW w:type="dxa" w:w="1067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2241"/>
          </w:tcPr>
          <w:p>
            <w:r>
              <w:rPr>
                <w:rFonts w:ascii="微软雅黑" w:hAnsi="微软雅黑" w:eastAsia="微软雅黑"/>
                <w:sz w:val="19"/>
              </w:rPr>
              <w:t>第五阶段：验证与交付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分层测试、缺陷修复、11 份交付文档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113 项端到端验证 + 交付材料</w:t>
            </w:r>
          </w:p>
        </w:tc>
        <w:tc>
          <w:tcPr>
            <w:tcW w:type="dxa" w:w="1067"/>
          </w:tcPr>
          <w:p>
            <w:r>
              <w:rPr>
                <w:rFonts w:ascii="微软雅黑" w:hAnsi="微软雅黑" w:eastAsia="微软雅黑"/>
                <w:sz w:val="19"/>
              </w:rPr>
              <w:t>已完成</w:t>
            </w:r>
          </w:p>
        </w:tc>
      </w:tr>
      <w:tr>
        <w:tc>
          <w:tcPr>
            <w:tcW w:type="dxa" w:w="2241"/>
          </w:tcPr>
          <w:p>
            <w:r>
              <w:rPr>
                <w:rFonts w:ascii="微软雅黑" w:hAnsi="微软雅黑" w:eastAsia="微软雅黑"/>
                <w:sz w:val="19"/>
              </w:rPr>
              <w:t>第六阶段：生产化改造</w:t>
            </w:r>
          </w:p>
        </w:tc>
        <w:tc>
          <w:tcPr>
            <w:tcW w:type="dxa" w:w="3415"/>
          </w:tcPr>
          <w:p>
            <w:r>
              <w:rPr>
                <w:rFonts w:ascii="微软雅黑" w:hAnsi="微软雅黑" w:eastAsia="微软雅黑"/>
                <w:sz w:val="19"/>
              </w:rPr>
              <w:t>多节点联调、MySQL 兼容、硬件加速、浏览器实测</w:t>
            </w:r>
          </w:p>
        </w:tc>
        <w:tc>
          <w:tcPr>
            <w:tcW w:type="dxa" w:w="2348"/>
          </w:tcPr>
          <w:p>
            <w:r>
              <w:rPr>
                <w:rFonts w:ascii="微软雅黑" w:hAnsi="微软雅黑" w:eastAsia="微软雅黑"/>
                <w:sz w:val="19"/>
              </w:rPr>
              <w:t>生产部署方案与压测报告</w:t>
            </w:r>
          </w:p>
        </w:tc>
        <w:tc>
          <w:tcPr>
            <w:tcW w:type="dxa" w:w="1067"/>
          </w:tcPr>
          <w:p>
            <w:r>
              <w:rPr>
                <w:rFonts w:ascii="微软雅黑" w:hAnsi="微软雅黑" w:eastAsia="微软雅黑"/>
                <w:sz w:val="19"/>
              </w:rPr>
              <w:t>待复赛推进</w:t>
            </w:r>
          </w:p>
        </w:tc>
      </w:tr>
    </w:tbl>
    <w:p/>
    <w:p>
      <w:pPr>
        <w:pStyle w:val="Heading1"/>
      </w:pPr>
      <w:r>
        <w:t>七、风险与应对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4649"/>
      </w:tblGrid>
      <w:tr>
        <w:tc>
          <w:tcPr>
            <w:tcW w:type="dxa" w:w="19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4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4649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隐私计算性能瓶颈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密文运算拖慢业务响应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sz w:val="19"/>
              </w:rPr>
              <w:t>参数压缩 64%（量化+剪枝）；生产替换 gmpy2/密码卡；批处理与缓存预热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模型精度不达业务红线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漏检率超 7% 导致合规风险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sz w:val="19"/>
              </w:rPr>
              <w:t>以业务红线反推阈值；联邦 + 本地双基线对比；DP 噪声按 ε 预算控制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AI 与人工判断不一致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合规团队不信任 AI 结论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sz w:val="19"/>
              </w:rPr>
              <w:t>统一口径 + Kappa 度量 + 低置信度强制转人工 + 策略可回滚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法规更新滞后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触碰新监管红线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sz w:val="19"/>
              </w:rPr>
              <w:t>224 条法规库 + 规则热更新 + 变更上链存证</w:t>
            </w:r>
          </w:p>
        </w:tc>
      </w:tr>
      <w:tr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演示环境与生产环境差异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上线后行为不一致</w:t>
            </w:r>
          </w:p>
        </w:tc>
        <w:tc>
          <w:tcPr>
            <w:tcW w:type="dxa" w:w="4649"/>
          </w:tcPr>
          <w:p>
            <w:r>
              <w:rPr>
                <w:rFonts w:ascii="微软雅黑" w:hAnsi="微软雅黑" w:eastAsia="微软雅黑"/>
                <w:sz w:val="19"/>
              </w:rPr>
              <w:t>配置化切换数据库/链/加密实现；关键路径预留扩展点</w:t>
            </w:r>
          </w:p>
        </w:tc>
      </w:tr>
    </w:tbl>
    <w:p/>
    <w:p>
      <w:pPr>
        <w:pStyle w:val="Heading1"/>
      </w:pPr>
      <w:r>
        <w:t>八、预期成效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608"/>
        <w:gridCol w:w="3175"/>
        <w:gridCol w:w="1814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60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改进前</w:t>
            </w:r>
          </w:p>
        </w:tc>
        <w:tc>
          <w:tcPr>
            <w:tcW w:type="dxa" w:w="317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改进后</w:t>
            </w:r>
          </w:p>
        </w:tc>
        <w:tc>
          <w:tcPr>
            <w:tcW w:type="dxa" w:w="181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审核时效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人工单笔平均 142 秒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AI 初审平均 92 毫秒（提速约 1500 倍）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实测（演示库 180 笔样本）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人工工作量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全量人工审核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自动化率 62.5%，仅疑难与高风险转人工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实测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风险识别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单地区建模 AUC 0.6531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联合建模 AUC 0.8488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实测（固定随机种子可复现）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数据合规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敏感数据无法跨域共享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原始数据不出域，统计误差 0.038%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实测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通道故障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人工介入处理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自动重试 + 自动补偿闭环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故障演练验证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合规校验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人工比对 218 辖区法规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规则引擎自动校验并生成整改清单</w:t>
            </w:r>
          </w:p>
        </w:tc>
        <w:tc>
          <w:tcPr>
            <w:tcW w:type="dxa" w:w="1814"/>
          </w:tcPr>
          <w:p>
            <w:r>
              <w:rPr>
                <w:rFonts w:ascii="微软雅黑" w:hAnsi="微软雅黑" w:eastAsia="微软雅黑"/>
                <w:sz w:val="19"/>
              </w:rPr>
              <w:t>端到端验证</w:t>
            </w:r>
          </w:p>
        </w:tc>
      </w:tr>
    </w:tbl>
    <w:p/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