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系统架构设计文档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任务清单（5）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一、架构总览</w:t>
      </w:r>
    </w:p>
    <w:p>
      <w:r>
        <w:rPr>
          <w:rFonts w:ascii="微软雅黑" w:hAnsi="微软雅黑" w:eastAsia="微软雅黑"/>
          <w:b w:val="0"/>
        </w:rPr>
        <w:t>平台采用前后端分离的四层架构，后端以「应用工厂 + 蓝图」组织 11 个业务域，前端以「路由分组 + 业务视图」组织 29 个页面。全部能力围绕赛题五大建设范围构建，并由隐私计算底座保障数据合规。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4989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6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498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Vue 17,108 行、Python 12,961 行、JSON 1,924 行、JS 908 行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后端蓝图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11 个业务蓝图 + 健康检查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auth / meta / dashboard / brain / ops / engine / compliance / authz / budget / lineage / audit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API 接口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116 条路由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统一 /api 前缀、统一响应体、统一鉴权装饰器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数据表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31 张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按业务域分组，统一 fs_ 前缀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前端页面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29 个路由视图 / 37 个 SFC 组件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hash 路由、按权限动态可访问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算法模块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12 个</w:t>
            </w:r>
          </w:p>
        </w:tc>
        <w:tc>
          <w:tcPr>
            <w:tcW w:type="dxa" w:w="4989"/>
          </w:tcPr>
          <w:p>
            <w:r>
              <w:rPr>
                <w:rFonts w:ascii="微软雅黑" w:hAnsi="微软雅黑" w:eastAsia="微软雅黑"/>
                <w:sz w:val="19"/>
              </w:rPr>
              <w:t>crypto 6 个 + engine 6 个</w:t>
            </w:r>
          </w:p>
        </w:tc>
      </w:tr>
    </w:tbl>
    <w:p/>
    <w:p>
      <w:pPr>
        <w:pStyle w:val="Heading1"/>
      </w:pPr>
      <w:r>
        <w:t>二、前端架构</w:t>
      </w:r>
    </w:p>
    <w:p>
      <w:pPr>
        <w:pStyle w:val="Heading2"/>
      </w:pPr>
      <w:r>
        <w:t>2.1 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714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src/api/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接口封装：request.js 统一 axios 实例（baseURL=/api、令牌注入、401 跳登录、错误提示、silent 静默模式）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src/router/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路由表与守卫：按业务域分组，meta.permission 控制可访问性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src/store/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Pinia 状态：用户令牌、权限点、角色视图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src/layout/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布局骨架：侧边菜单（按 group 分组）、顶部面包屑、角色切换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src/components/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通用组件：ChartBox（ECharts 容器）、StatCard（指标卡）、状态标签等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src/views/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29 个业务视图，按域分子目录（brain / ops / engine / compliance / authz / budget / lineage / audit / console / home / login）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src/utils/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sz w:val="19"/>
              </w:rPr>
              <w:t>格式化（时间/数字/百分比）、图表公共配置、字典映射</w:t>
            </w:r>
          </w:p>
        </w:tc>
      </w:tr>
    </w:tbl>
    <w:p/>
    <w:p>
      <w:pPr>
        <w:pStyle w:val="Heading2"/>
      </w:pPr>
      <w:r>
        <w:t>2.2 关键设计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hash 路由：无需服务端重写规则，交付后可直接以静态文件或后端托管方式运行；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静默请求：后台定时刷新（如大脑展板 10 秒轮询）使用 silent 标记，失败不弹窗打扰演示；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空值兜底：所有接口返回值统一 `?? []` / `|| 0` 兜底，避免后端字段缺失导致页面崩溃；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脑机展板实现：ECharts graphic 绘制脑区底图 + lines（effect 光点）绘制 31 条数据通路 + scatter 绘制 17 个脑区节点，节点尺寸与颜色随实时负载变化。</w:t>
      </w:r>
    </w:p>
    <w:p>
      <w:pPr>
        <w:pStyle w:val="Heading1"/>
      </w:pPr>
      <w:r>
        <w:t>三、后端架构</w:t>
      </w:r>
    </w:p>
    <w:p>
      <w:pPr>
        <w:pStyle w:val="Heading2"/>
      </w:pPr>
      <w:r>
        <w:t>3.1 应用组织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443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44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关键实现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backend/app.py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应用工厂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create_app() 装配配置/扩展/蓝图/错误处理；启动时建表、结构兼容检查、索引预热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backend/config.py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配置中心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JWT/差分隐私/熔断/留存/数据库等配置项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backend/extensions.py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扩展实例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SQLAlchemy 单例，避免循环依赖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backend/models.py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数据模型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31 张表 + to_dict 序列化 + 统一时间/编码工具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backend/api/*.py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接口层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11 个蓝图，唯一职责是参数校验、权限校验、调用引擎、组装响应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backend/engine/*.py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算法层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纯逻辑实现、不依赖 Web 框架，便于单元测试与批量回放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backend/crypto/*.py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密码层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SM4 / Paillier / AES-GCM / 差分隐私 / 分级策略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backend/audit.py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审计与存证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装饰器记录操作、链式哈希存证、篡改校验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backend/utils/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横切能力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鉴权装饰器、权限矩阵、统一响应体、分页约定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backend/seed.py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演示数据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可重复的种子数据与植入的特殊场景样本</w:t>
            </w:r>
          </w:p>
        </w:tc>
      </w:tr>
    </w:tbl>
    <w:p/>
    <w:p>
      <w:pPr>
        <w:pStyle w:val="Heading2"/>
      </w:pPr>
      <w:r>
        <w:t>3.2 请求处理链路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HTTP 请求 → CORS → 蓝图路由 → @auth_required（解析 JWT、校验黑名单）</w:t>
        <w:br/>
        <w:t xml:space="preserve">        → @require_permission（查权限矩阵，403）</w:t>
        <w:br/>
        <w:t xml:space="preserve">        → 业务函数（参数校验 → 调用 engine → 写库 → 审计留痕/上链）</w:t>
        <w:br/>
        <w:t xml:space="preserve">        → @ok 统一响应体 {code, message, data, timestamp}</w:t>
        <w:br/>
        <w:t xml:space="preserve">        → 全局异常处理（ApiError → 业务码；未捕获异常 → 500 + 异常类型与消息）</w:t>
      </w:r>
    </w:p>
    <w:p>
      <w:pPr>
        <w:pStyle w:val="Heading2"/>
      </w:pPr>
      <w:r>
        <w:t>3.3 统一约定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约定</w:t>
            </w:r>
          </w:p>
        </w:tc>
        <w:tc>
          <w:tcPr>
            <w:tcW w:type="dxa" w:w="737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响应体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{ code: 0|4xx|5xx, message, data, timestamp }；code=0 表示成功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分页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请求 page/size，响应 { list, total, page, size }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鉴权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Authorization: Bearer &lt;JWT&gt;；黑名单令牌即时失效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权限点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域:资源:操作（如 engine:task:manage），集中在 utils/deps.py 的 PERMISSION_MATRIX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审计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写操作经审计装饰器记录操作人/IP/动作/目标/结果，并计算链式哈希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时间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19"/>
              </w:rPr>
              <w:t>统一由 models.now() 提供，to_dict 统一 ISO 字符串</w:t>
            </w:r>
          </w:p>
        </w:tc>
      </w:tr>
    </w:tbl>
    <w:p/>
    <w:p>
      <w:pPr>
        <w:pStyle w:val="Heading1"/>
      </w:pPr>
      <w:r>
        <w:t>四、数据架构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3628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374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36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身份与安全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user、login_session、token_blacklist、circuit_breaker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用户、会话、令牌黑名单、异常熔断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协作与数据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node、dataset、partner、transaction、merchant、sanction_entry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协作节点、数据集、合作方、交易、商户、制裁清单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计算任务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task、task_log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任务与执行日志（含模型指标与轮次快照）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合规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rule、report、compliance_trend、alert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规则、报告、趋势、预警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授权与预算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grant、budget_item、budget_application、budget_adjustment、budget_trend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数据授权与隐私预算全流程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血缘与存证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lineage_node、lineage_link、lineage_record、audit_log、chain_block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血缘图谱、血缘记录、审计日志、区块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支付智能处理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payment_channel、payment_order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通道池与支付订单（含全链路事件）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审核与监测</w:t>
            </w:r>
          </w:p>
        </w:tc>
        <w:tc>
          <w:tcPr>
            <w:tcW w:type="dxa" w:w="3742"/>
          </w:tcPr>
          <w:p>
            <w:r>
              <w:rPr>
                <w:rFonts w:ascii="微软雅黑" w:hAnsi="微软雅黑" w:eastAsia="微软雅黑"/>
                <w:sz w:val="19"/>
              </w:rPr>
              <w:t>review_record、optimization、monitoring_alert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审核记录（含特征向量）、策略优化记录、异常预警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>序列化：每张表提供 to_dict()，字段命名遵循前端 camelCase，避免前端二次转换；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外键安全：重置功能按外键依赖顺序删除，先清子表再清主表；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结构兼容：启动时对比模型与库结构，自动为已有库补齐新增可空字段（免删库重建，无需引入 Alembic）；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数据库切换：通过 DATABASE_URL 切换 SQLite / MySQL / 国产数据库，业务代码零改动。</w:t>
      </w:r>
    </w:p>
    <w:p>
      <w:pPr>
        <w:pStyle w:val="Heading1"/>
      </w:pPr>
      <w:r>
        <w:t>五、算法与隐私计算架构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5443"/>
      </w:tblGrid>
      <w:tr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算法/能力</w:t>
            </w:r>
          </w:p>
        </w:tc>
        <w:tc>
          <w:tcPr>
            <w:tcW w:type="dxa" w:w="544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关键实现要点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crypto/sm4.py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国密 SM4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纯 Python 实现 GB/T 32907-2016，CBC + HMAC，通过两个标准向量；PyCryptodome 可用时优先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crypto/homomorphic.py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Paillier 半同态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1024 位密钥、CRT 解密加速、密文加法与明文标量乘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crypto/symmetric.py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AES-256-GCM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认证加密，用于 P2/P3 数据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crypto/differential.py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差分隐私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Laplace 机制 + 预算会计 + 动态分配（P1&gt;P2&gt;P3）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crypto/policy.py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分级加密策略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P1 双重加密（SM4 本体 + Paillier 保护密钥）、P2 加噪、P3 常规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engine/federated.py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横向联邦学习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FedAvg/FedProx、DP-SGD 敏感度推导、公共量化尺度、首轮稠密预热、密文域加权聚合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engine/oblivious.py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匿踪查询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RSA 盲签名 OPRF（生产）/ Paillier 密文比对；按清单分片缓存 + 启动预热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engine/psi.py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隐私求交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盲签名集合求交，交集外元素不泄露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engine/statistics.py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联合统计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密文域聚合，误差率 ≤1%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engine/classifier.py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智能分级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9 类字段规则（关键词 + 正则 + 语义），输出级别与判定依据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engine/rule_engine.py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合规规则引擎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画布 DSL（trigger/condition/action）、9 种操作符、命中语义可解释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engine/payment.py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智能路由与补偿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四目标加权、合规前置排除、状态机、指数退避重试、自动补偿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engine/monitoring.py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异常检测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时间窗统计 + 6 条规则 + 组合风险加成 + 四档处置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engine/review.py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审核一致性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三分类评分、置信度估计、Kappa、漏放/误拦、候选策略网格复盘寻优</w:t>
            </w:r>
          </w:p>
        </w:tc>
      </w:tr>
    </w:tbl>
    <w:p/>
    <w:p>
      <w:pPr>
        <w:pStyle w:val="Heading2"/>
      </w:pPr>
      <w:r>
        <w:t>5.1 联邦训练时序（7 步）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① 各节点本地训练（DP-SGD 裁剪）        ② 敏感度上界 Δ = E·η·C/B</w:t>
        <w:br/>
        <w:t>③ 注入 Laplace 噪声（ε_round）            ④ int16 量化 + 幅值剪枝 + varint 编码</w:t>
        <w:br/>
        <w:t>⑤ Paillier 加密上传                     ⑥ 聚合方密文域加权聚合 Π E(θᵢ)^wᵢ</w:t>
        <w:br/>
        <w:t>⑦ 解密聚合值回传（单节点参数全程不解密）</w:t>
      </w:r>
    </w:p>
    <w:p>
      <w:pPr>
        <w:pStyle w:val="Heading2"/>
      </w:pPr>
      <w:r>
        <w:t>5.2 支付处理时序（含重试与补偿）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接入 → 风控前置评分 → [block/manual → 终止] → 智能路由（合规前置排除）</w:t>
        <w:br/>
        <w:t xml:space="preserve">  → 通道提交 → [失败 → 指数退避 + 切换通道重试（≤2 次）]</w:t>
        <w:br/>
        <w:t xml:space="preserve">  → [重试耗尽 → 生成补偿单 → 上链存证 → 状态置 compensated]</w:t>
        <w:br/>
        <w:t xml:space="preserve">  → 成功 → 状态置 success/retrying → 事件流落库</w:t>
      </w:r>
    </w:p>
    <w:p>
      <w:pPr>
        <w:pStyle w:val="Heading2"/>
      </w:pPr>
      <w:r>
        <w:t>5.3 审核一致性闭环时序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AI 初审（评分 → 三分类 → 置信度 → 低置信度强制转人工）</w:t>
        <w:br/>
        <w:t xml:space="preserve">  → 人工复核（独立结论 + 意见 + 耗时）</w:t>
        <w:br/>
        <w:t xml:space="preserve">  → 差异比对（一致/漏放/误拦，特征向量入库保证可复现）</w:t>
        <w:br/>
        <w:t xml:space="preserve">  → 策略寻优（候选网格复盘 + 硬约束筛选 + 综合得分择优）</w:t>
        <w:br/>
        <w:t xml:space="preserve">  → 应用（策略生效，下一批使用；保留优化前配置可回滚）</w:t>
      </w:r>
    </w:p>
    <w:p>
      <w:pPr>
        <w:pStyle w:val="Heading1"/>
      </w:pPr>
      <w:r>
        <w:t>六、接口设计规范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762"/>
        <w:gridCol w:w="3061"/>
      </w:tblGrid>
      <w:tr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规范</w:t>
            </w:r>
          </w:p>
        </w:tc>
        <w:tc>
          <w:tcPr>
            <w:tcW w:type="dxa" w:w="476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0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风格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RESTful，资源名复数，动作用子路径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POST /api/ops/payment/process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状态码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业务成功 200 + code=0；参数错误 400；未登录 401；无权限 403；不存在 404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权限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写操作声明权限点，装饰器统一校验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@require_permission('engine:task:manage')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幂等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任务启动、批次创建等接口校验状态，重复调用返回明确业务错误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任务非 pending 状态拒绝启动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契约文档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docs/API.md 为唯一契约源，接口变更同步更新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116 条接口全部登记</w:t>
            </w:r>
          </w:p>
        </w:tc>
      </w:tr>
    </w:tbl>
    <w:p/>
    <w:p>
      <w:pPr>
        <w:pStyle w:val="Heading1"/>
      </w:pPr>
      <w:r>
        <w:t>七、安全架构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层面</w:t>
            </w:r>
          </w:p>
        </w:tc>
        <w:tc>
          <w:tcPr>
            <w:tcW w:type="dxa" w:w="759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身份认证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JWT（HS256）+ 登录会话表 + 令牌黑名单（登出即时失效）；支持 MFA 二次校验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访问控制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零信任动态授权：权限矩阵（角色 × 权限点）+ 请求上下文风险评估 + 异常熔断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数据加密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P1 双重加密（SM4-CBC+HMAC，密钥经 Paillier 保护）、P2 差分隐私 + AES-GCM、P3 AES-GCM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传输安全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演示环境 HTTP + 令牌；生产建议全链路 HTTPS 与 mTLS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审计存证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全量写操作审计 + 链式哈希存证（区块高度、前一区块哈希、篡改定位）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越权防护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端到端测试覆盖越权场景（商户访问管理接口 → 403，已纳入回归用例）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合规前置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受限目的地直接排除、P1 未授权出境直接阻断并生成整改清单</w:t>
            </w:r>
          </w:p>
        </w:tc>
      </w:tr>
    </w:tbl>
    <w:p/>
    <w:p>
      <w:pPr>
        <w:pStyle w:val="Heading1"/>
      </w:pPr>
      <w:r>
        <w:t>八、可扩展性设计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通道可插拔：新增支付通道只需在通道池增加配置（币种/目的地/费率/限额/合规说明），路由自动纳入评分；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规则可编排：合规规则通过画布 DSL 配置，新增监管要求无需改代码；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节点可扩展：协作节点与数据集由数据表驱动，新增地区节点不影响既有逻辑；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算法可替换：联邦聚合、加密、链存证均以模块边界隔离，可用生产级实现整体替换；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展板可扩展：脑区图谱为数据结构（17 脑区 / 31 通路），新增能力只需增加脑区定义与指标采集。</w:t>
      </w:r>
    </w:p>
    <w:p>
      <w:pPr>
        <w:pStyle w:val="Heading1"/>
      </w:pPr>
      <w:r>
        <w:t>九、部署与运行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9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运行依赖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Python 3.12（Flask 3.0.3 / SQLAlchemy 2.0.32 / PyJWT 2.9.0 / pycryptodome 3.20.0 / numpy 1.26.4）、Node 18+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启动方式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后端：python run.py（自动建表、种子数据、缓存预热）；前端：npm run dev 或 npm run build 后由后端托管 dist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目录结构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backend/（app/models/config/seed/api/engine/crypto/utils/tests）、frontend/（src/public）、docs/、instance/（数据库，已 gitignore）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环境变量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DATABASE_URL、SECRET_KEY、JWT 配置等，支持 .env（不入库）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重置与重建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python run.py --reset 重置演示数据；删除 instance/*.db 可完全重建</w:t>
            </w:r>
          </w:p>
        </w:tc>
      </w:tr>
    </w:tbl>
    <w:p/>
    <w:p>
      <w:pPr>
        <w:pStyle w:val="Heading1"/>
      </w:pPr>
      <w:r>
        <w:t>十、架构决策记录（ADR）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268"/>
        <w:gridCol w:w="3515"/>
        <w:gridCol w:w="2268"/>
      </w:tblGrid>
      <w:tr>
        <w:tc>
          <w:tcPr>
            <w:tcW w:type="dxa" w:w="102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351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背景与理由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前端使用 hash 路由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交付后可直接静态托管，无需服务端 rewrite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URL 带 #，SEO 不友好（后台系统可接受）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不引入 Alembic，启动时自动补列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演示项目需频繁加字段且要求零运维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不支持改类型/删列，生产应换迁移工具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规则引擎以画布 JSON 存库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业务人员可拖拽编排，改规则无需发版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需要前端画布编辑器与校验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隐私计算采用纯 Python 实现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便于评审逐行阅读、无编译依赖、可复现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性能受限（Paillier 聚合约 1s/280 份）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算法层与 Web 层严格分离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引擎为纯函数，可批量回放与单元测试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需要额外的参数组装代码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审核特征向量入库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策略复盘必须可复现，否则优化结论不可信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存储开销增加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AI 转人工不计入一致性分歧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转人工属协同行为，计入分歧会低估 AI 质量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需向使用方解释口径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9"/>
              </w:rPr>
              <w:t>ADR-08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统一响应体与空值兜底约定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sz w:val="19"/>
              </w:rPr>
              <w:t>降低前后端联调成本，避免页面崩溃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后端需维护序列化层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