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5FD8"/>
          <w:sz w:val="44"/>
        </w:rPr>
        <w:t>试运行报告</w:t>
      </w:r>
    </w:p>
    <w:p>
      <w:pPr>
        <w:jc w:val="center"/>
      </w:pPr>
      <w:r>
        <w:rPr>
          <w:rFonts w:ascii="微软雅黑" w:hAnsi="微软雅黑" w:eastAsia="微软雅黑"/>
          <w:color w:val="5C6B7F"/>
          <w:sz w:val="22"/>
        </w:rPr>
        <w:t>FedShield · AI 风控合规智能大脑 ／ 赛题 A16 任务清单（10）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030"/>
      </w:tblGrid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赛题编号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A16（本科组·应用类·人工智能方向）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赛题名称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面向全球支付场景的 AI 驱动风控合规智能大脑框架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命题企业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杭州乒乓智能技术有限公司（PingPong）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作品名称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FedShield · AI 风控合规智能大脑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技术栈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Vue 3 + Element Plus + Vite ／ Flask + SQLAlchemy ／ 联邦学习 + 同态加密 + 差分隐私 + 联盟链存证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代码规模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112 个受控文件 / 34,053 行（Vue 17,108 行、Python 12,961 行）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功能规模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11 个业务蓝图 / 116 条 API / 31 张数据表 / 29 个页面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文档版本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V1.0</w:t>
            </w:r>
          </w:p>
        </w:tc>
      </w:tr>
    </w:tbl>
    <w:p/>
    <w:p>
      <w:pPr>
        <w:pStyle w:val="Heading1"/>
      </w:pPr>
      <w:r>
        <w:t>一、试运行目的与范围</w:t>
      </w:r>
    </w:p>
    <w:p>
      <w:r>
        <w:rPr>
          <w:rFonts w:ascii="微软雅黑" w:hAnsi="微软雅黑" w:eastAsia="微软雅黑"/>
          <w:b w:val="0"/>
        </w:rPr>
        <w:t>验证平台在接近真实业务数据规模下，五大建设范围的功能完整性、算法有效性与关键指标达成情况，并暴露缺陷、评估可交付性。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范围</w:t>
            </w:r>
          </w:p>
        </w:tc>
        <w:tc>
          <w:tcPr>
            <w:tcW w:type="dxa" w:w="7597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功能范围</w:t>
            </w:r>
          </w:p>
        </w:tc>
        <w:tc>
          <w:tcPr>
            <w:tcW w:type="dxa" w:w="7597"/>
          </w:tcPr>
          <w:p>
            <w:r>
              <w:rPr>
                <w:rFonts w:ascii="微软雅黑" w:hAnsi="微软雅黑" w:eastAsia="微软雅黑"/>
                <w:sz w:val="19"/>
              </w:rPr>
              <w:t>支付智能处理、智能风控与异常监测、智能合规审核、AI 审核一致性管理、运营决策支撑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算法范围</w:t>
            </w:r>
          </w:p>
        </w:tc>
        <w:tc>
          <w:tcPr>
            <w:tcW w:type="dxa" w:w="7597"/>
          </w:tcPr>
          <w:p>
            <w:r>
              <w:rPr>
                <w:rFonts w:ascii="微软雅黑" w:hAnsi="微软雅黑" w:eastAsia="微软雅黑"/>
                <w:sz w:val="19"/>
              </w:rPr>
              <w:t>联邦学习、同态加密、差分隐私、隐私求交与匿踪查询、智能分级、规则引擎、审核评分与策略寻优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数据范围</w:t>
            </w:r>
          </w:p>
        </w:tc>
        <w:tc>
          <w:tcPr>
            <w:tcW w:type="dxa" w:w="7597"/>
          </w:tcPr>
          <w:p>
            <w:r>
              <w:rPr>
                <w:rFonts w:ascii="微软雅黑" w:hAnsi="微软雅黑" w:eastAsia="微软雅黑"/>
                <w:sz w:val="19"/>
              </w:rPr>
              <w:t>演示库：8 个用户 / 6 个协作节点 / 8 个数据集 / 59 个商户 / 2,703 笔交易 / 50 条制裁清单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非功能范围</w:t>
            </w:r>
          </w:p>
        </w:tc>
        <w:tc>
          <w:tcPr>
            <w:tcW w:type="dxa" w:w="7597"/>
          </w:tcPr>
          <w:p>
            <w:r>
              <w:rPr>
                <w:rFonts w:ascii="微软雅黑" w:hAnsi="微软雅黑" w:eastAsia="微软雅黑"/>
                <w:sz w:val="19"/>
              </w:rPr>
              <w:t>响应时间、统计误差、模型精度、一致性、鉴权与越权防护、链完整性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不包含</w:t>
            </w:r>
          </w:p>
        </w:tc>
        <w:tc>
          <w:tcPr>
            <w:tcW w:type="dxa" w:w="7597"/>
          </w:tcPr>
          <w:p>
            <w:r>
              <w:rPr>
                <w:rFonts w:ascii="微软雅黑" w:hAnsi="微软雅黑" w:eastAsia="微软雅黑"/>
                <w:sz w:val="19"/>
              </w:rPr>
              <w:t>真实多节点网络联调、MySQL/国产数据库实测、浏览器端视觉与交互实测（受环境限制，见第五章）</w:t>
            </w:r>
          </w:p>
        </w:tc>
      </w:tr>
    </w:tbl>
    <w:p/>
    <w:p>
      <w:pPr>
        <w:pStyle w:val="Heading1"/>
      </w:pPr>
      <w:r>
        <w:t>二、试运行环境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597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配置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操作系统</w:t>
            </w:r>
          </w:p>
        </w:tc>
        <w:tc>
          <w:tcPr>
            <w:tcW w:type="dxa" w:w="7597"/>
          </w:tcPr>
          <w:p>
            <w:r>
              <w:rPr>
                <w:rFonts w:ascii="微软雅黑" w:hAnsi="微软雅黑" w:eastAsia="微软雅黑"/>
                <w:sz w:val="19"/>
              </w:rPr>
              <w:t>Windows 10/11（64 位）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后端运行时</w:t>
            </w:r>
          </w:p>
        </w:tc>
        <w:tc>
          <w:tcPr>
            <w:tcW w:type="dxa" w:w="7597"/>
          </w:tcPr>
          <w:p>
            <w:r>
              <w:rPr>
                <w:rFonts w:ascii="微软雅黑" w:hAnsi="微软雅黑" w:eastAsia="微软雅黑"/>
                <w:sz w:val="19"/>
              </w:rPr>
              <w:t>Python 3.12.10；Flask 3.0.3、Flask-SQLAlchemy 3.1.1、SQLAlchemy 2.0.32、PyJWT 2.9.0、pycryptodome 3.20.0、numpy 1.26.4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前端运行时</w:t>
            </w:r>
          </w:p>
        </w:tc>
        <w:tc>
          <w:tcPr>
            <w:tcW w:type="dxa" w:w="7597"/>
          </w:tcPr>
          <w:p>
            <w:r>
              <w:rPr>
                <w:rFonts w:ascii="微软雅黑" w:hAnsi="微软雅黑" w:eastAsia="微软雅黑"/>
                <w:sz w:val="19"/>
              </w:rPr>
              <w:t>Node 24.21.0、npm 11.19.0、Vue 3.5、Element Plus、ECharts 5、Vite 5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数据库</w:t>
            </w:r>
          </w:p>
        </w:tc>
        <w:tc>
          <w:tcPr>
            <w:tcW w:type="dxa" w:w="7597"/>
          </w:tcPr>
          <w:p>
            <w:r>
              <w:rPr>
                <w:rFonts w:ascii="微软雅黑" w:hAnsi="微软雅黑" w:eastAsia="微软雅黑"/>
                <w:sz w:val="19"/>
              </w:rPr>
              <w:t>SQLite（instance/fedshield.db），通过 DATABASE_URL 可切换 MySQL/国产数据库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浏览器</w:t>
            </w:r>
          </w:p>
        </w:tc>
        <w:tc>
          <w:tcPr>
            <w:tcW w:type="dxa" w:w="7597"/>
          </w:tcPr>
          <w:p>
            <w:r>
              <w:rPr>
                <w:rFonts w:ascii="微软雅黑" w:hAnsi="微软雅黑" w:eastAsia="微软雅黑"/>
                <w:sz w:val="19"/>
              </w:rPr>
              <w:t>Chrome / Edge 最新版（前端渲染实测待补，见第五章）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运行方式</w:t>
            </w:r>
          </w:p>
        </w:tc>
        <w:tc>
          <w:tcPr>
            <w:tcW w:type="dxa" w:w="7597"/>
          </w:tcPr>
          <w:p>
            <w:r>
              <w:rPr>
                <w:rFonts w:ascii="微软雅黑" w:hAnsi="微软雅黑" w:eastAsia="微软雅黑"/>
                <w:sz w:val="19"/>
              </w:rPr>
              <w:t>后端 python run.py（自动建表 + 种子数据 + 索引预热）；前端 npm run dev（Vite 代理 /api）</w:t>
            </w:r>
          </w:p>
        </w:tc>
      </w:tr>
    </w:tbl>
    <w:p/>
    <w:p>
      <w:pPr>
        <w:pStyle w:val="Heading1"/>
      </w:pPr>
      <w:r>
        <w:t>三、试运行数据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041"/>
        <w:gridCol w:w="5329"/>
      </w:tblGrid>
      <w:tr>
        <w:tc>
          <w:tcPr>
            <w:tcW w:type="dxa" w:w="170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数据实体</w:t>
            </w:r>
          </w:p>
        </w:tc>
        <w:tc>
          <w:tcPr>
            <w:tcW w:type="dxa" w:w="204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5329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用户与角色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8 个用户 / 4 类角色</w:t>
            </w:r>
          </w:p>
        </w:tc>
        <w:tc>
          <w:tcPr>
            <w:tcW w:type="dxa" w:w="5329"/>
          </w:tcPr>
          <w:p>
            <w:r>
              <w:rPr>
                <w:rFonts w:ascii="微软雅黑" w:hAnsi="微软雅黑" w:eastAsia="微软雅黑"/>
                <w:sz w:val="19"/>
              </w:rPr>
              <w:t>运营端、商户端、监管端、数据安全管理端；演示口令统一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协作节点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6 个</w:t>
            </w:r>
          </w:p>
        </w:tc>
        <w:tc>
          <w:tcPr>
            <w:tcW w:type="dxa" w:w="5329"/>
          </w:tcPr>
          <w:p>
            <w:r>
              <w:rPr>
                <w:rFonts w:ascii="微软雅黑" w:hAnsi="微软雅黑" w:eastAsia="微软雅黑"/>
                <w:sz w:val="19"/>
              </w:rPr>
              <w:t>中国杭州、欧盟法兰克福、新加坡、美国、中国香港、中东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数据集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8 个</w:t>
            </w:r>
          </w:p>
        </w:tc>
        <w:tc>
          <w:tcPr>
            <w:tcW w:type="dxa" w:w="5329"/>
          </w:tcPr>
          <w:p>
            <w:r>
              <w:rPr>
                <w:rFonts w:ascii="微软雅黑" w:hAnsi="微软雅黑" w:eastAsia="微软雅黑"/>
                <w:sz w:val="19"/>
              </w:rPr>
              <w:t>按 P1/P2/P3 分级，覆盖交易、商户、制裁清单、法规等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商户与交易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59 个商户 / 2,703 笔交易</w:t>
            </w:r>
          </w:p>
        </w:tc>
        <w:tc>
          <w:tcPr>
            <w:tcW w:type="dxa" w:w="5329"/>
          </w:tcPr>
          <w:p>
            <w:r>
              <w:rPr>
                <w:rFonts w:ascii="微软雅黑" w:hAnsi="微软雅黑" w:eastAsia="微软雅黑"/>
                <w:sz w:val="19"/>
              </w:rPr>
              <w:t>近 90 天；含刻意植入的 4 类可疑交易模式（拆分交易、金额突增、收款人分散、高风险地区）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制裁清单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50 条</w:t>
            </w:r>
          </w:p>
        </w:tc>
        <w:tc>
          <w:tcPr>
            <w:tcW w:type="dxa" w:w="5329"/>
          </w:tcPr>
          <w:p>
            <w:r>
              <w:rPr>
                <w:rFonts w:ascii="微软雅黑" w:hAnsi="微软雅黑" w:eastAsia="微软雅黑"/>
                <w:sz w:val="19"/>
              </w:rPr>
              <w:t>OFAC / 联合国等清单条目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合规规则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3 条默认规则</w:t>
            </w:r>
          </w:p>
        </w:tc>
        <w:tc>
          <w:tcPr>
            <w:tcW w:type="dxa" w:w="5329"/>
          </w:tcPr>
          <w:p>
            <w:r>
              <w:rPr>
                <w:rFonts w:ascii="微软雅黑" w:hAnsi="微软雅黑" w:eastAsia="微软雅黑"/>
                <w:sz w:val="19"/>
              </w:rPr>
              <w:t>高敏感数据跨境限制、欧盟出境要件校验、用途与批量管控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支付通道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7 条</w:t>
            </w:r>
          </w:p>
        </w:tc>
        <w:tc>
          <w:tcPr>
            <w:tcW w:type="dxa" w:w="5329"/>
          </w:tcPr>
          <w:p>
            <w:r>
              <w:rPr>
                <w:rFonts w:ascii="微软雅黑" w:hAnsi="微软雅黑" w:eastAsia="微软雅黑"/>
                <w:sz w:val="19"/>
              </w:rPr>
              <w:t>含 2 条降级通道，用于验证路由降权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联邦建模任务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1 个（10 轮）</w:t>
            </w:r>
          </w:p>
        </w:tc>
        <w:tc>
          <w:tcPr>
            <w:tcW w:type="dxa" w:w="5329"/>
          </w:tcPr>
          <w:p>
            <w:r>
              <w:rPr>
                <w:rFonts w:ascii="微软雅黑" w:hAnsi="微软雅黑" w:eastAsia="微软雅黑"/>
                <w:sz w:val="19"/>
              </w:rPr>
              <w:t>三节点横向联邦，实测 AUC 0.8488</w:t>
            </w:r>
          </w:p>
        </w:tc>
      </w:tr>
    </w:tbl>
    <w:p/>
    <w:p>
      <w:pPr>
        <w:pStyle w:val="Heading1"/>
      </w:pPr>
      <w:r>
        <w:t>四、试运行内容与结果</w:t>
      </w:r>
    </w:p>
    <w:p>
      <w:pPr>
        <w:pStyle w:val="Heading2"/>
      </w:pPr>
      <w:r>
        <w:t>4.1 支付智能处理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701"/>
        <w:gridCol w:w="4309"/>
        <w:gridCol w:w="1247"/>
      </w:tblGrid>
      <w:tr>
        <w:tc>
          <w:tcPr>
            <w:tcW w:type="dxa" w:w="181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试运行项</w:t>
            </w:r>
          </w:p>
        </w:tc>
        <w:tc>
          <w:tcPr>
            <w:tcW w:type="dxa" w:w="170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4309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输出/实测</w:t>
            </w:r>
          </w:p>
        </w:tc>
        <w:tc>
          <w:tcPr>
            <w:tcW w:type="dxa" w:w="1247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智能路由预演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金额 38 万 USD → 欧盟</w:t>
            </w:r>
          </w:p>
        </w:tc>
        <w:tc>
          <w:tcPr>
            <w:tcW w:type="dxa" w:w="4309"/>
          </w:tcPr>
          <w:p>
            <w:r>
              <w:rPr>
                <w:rFonts w:ascii="微软雅黑" w:hAnsi="微软雅黑" w:eastAsia="微软雅黑"/>
                <w:sz w:val="19"/>
              </w:rPr>
              <w:t>选中 PingPong 直连通道（得分 0.7629），Visa 次优（0.6121），SEPA/ACH 因币种或目的地不符被排除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符合预期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合规前置排除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目的地 IR</w:t>
            </w:r>
          </w:p>
        </w:tc>
        <w:tc>
          <w:tcPr>
            <w:tcW w:type="dxa" w:w="4309"/>
          </w:tcPr>
          <w:p>
            <w:r>
              <w:rPr>
                <w:rFonts w:ascii="微软雅黑" w:hAnsi="微软雅黑" w:eastAsia="微软雅黑"/>
                <w:sz w:val="19"/>
              </w:rPr>
              <w:t>全部通道排除，交易转合规专项审批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符合预期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批量处理（含故障演练）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30 笔 + 20% 故障注入</w:t>
            </w:r>
          </w:p>
        </w:tc>
        <w:tc>
          <w:tcPr>
            <w:tcW w:type="dxa" w:w="4309"/>
          </w:tcPr>
          <w:p>
            <w:r>
              <w:rPr>
                <w:rFonts w:ascii="微软雅黑" w:hAnsi="微软雅黑" w:eastAsia="微软雅黑"/>
                <w:sz w:val="19"/>
              </w:rPr>
              <w:t>成功率 83.3%、直通率 80.0%、重试率 20.0%、补偿率 16.7%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符合预期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状态跟踪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抽样订单</w:t>
            </w:r>
          </w:p>
        </w:tc>
        <w:tc>
          <w:tcPr>
            <w:tcW w:type="dxa" w:w="4309"/>
          </w:tcPr>
          <w:p>
            <w:r>
              <w:rPr>
                <w:rFonts w:ascii="微软雅黑" w:hAnsi="微软雅黑" w:eastAsia="微软雅黑"/>
                <w:sz w:val="19"/>
              </w:rPr>
              <w:t>全链路事件完整（接入→风控→路由→处理→失败→重试→补偿）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符合预期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链路指标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76 笔累计</w:t>
            </w:r>
          </w:p>
        </w:tc>
        <w:tc>
          <w:tcPr>
            <w:tcW w:type="dxa" w:w="4309"/>
          </w:tcPr>
          <w:p>
            <w:r>
              <w:rPr>
                <w:rFonts w:ascii="微软雅黑" w:hAnsi="微软雅黑" w:eastAsia="微软雅黑"/>
                <w:sz w:val="19"/>
              </w:rPr>
              <w:t>成功率 81.6%、逐状态分布 success 59 / compensated 14 / retrying 3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符合预期</w:t>
            </w:r>
          </w:p>
        </w:tc>
      </w:tr>
    </w:tbl>
    <w:p/>
    <w:p>
      <w:pPr>
        <w:pStyle w:val="Heading2"/>
      </w:pPr>
      <w:r>
        <w:t>4.2 智能风控与异常监测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701"/>
        <w:gridCol w:w="4309"/>
        <w:gridCol w:w="1247"/>
      </w:tblGrid>
      <w:tr>
        <w:tc>
          <w:tcPr>
            <w:tcW w:type="dxa" w:w="181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试运行项</w:t>
            </w:r>
          </w:p>
        </w:tc>
        <w:tc>
          <w:tcPr>
            <w:tcW w:type="dxa" w:w="170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4309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输出/实测</w:t>
            </w:r>
          </w:p>
        </w:tc>
        <w:tc>
          <w:tcPr>
            <w:tcW w:type="dxa" w:w="1247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异常检测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扫描 1,500 笔交易</w:t>
            </w:r>
          </w:p>
        </w:tc>
        <w:tc>
          <w:tcPr>
            <w:tcW w:type="dxa" w:w="4309"/>
          </w:tcPr>
          <w:p>
            <w:r>
              <w:rPr>
                <w:rFonts w:ascii="微软雅黑" w:hAnsi="微软雅黑" w:eastAsia="微软雅黑"/>
                <w:sz w:val="19"/>
              </w:rPr>
              <w:t>预警 120 条（高危 16 / 中危 104），涉险金额 1,878.8 万元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符合预期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规则命中分布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同上</w:t>
            </w:r>
          </w:p>
        </w:tc>
        <w:tc>
          <w:tcPr>
            <w:tcW w:type="dxa" w:w="4309"/>
          </w:tcPr>
          <w:p>
            <w:r>
              <w:rPr>
                <w:rFonts w:ascii="微软雅黑" w:hAnsi="微软雅黑" w:eastAsia="微软雅黑"/>
                <w:sz w:val="19"/>
              </w:rPr>
              <w:t>收款人分散 59 / 高风险交易 31 / 金额突增 11 / 短时高频 7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符合预期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自动处置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同上</w:t>
            </w:r>
          </w:p>
        </w:tc>
        <w:tc>
          <w:tcPr>
            <w:tcW w:type="dxa" w:w="4309"/>
          </w:tcPr>
          <w:p>
            <w:r>
              <w:rPr>
                <w:rFonts w:ascii="微软雅黑" w:hAnsi="微软雅黑" w:eastAsia="微软雅黑"/>
                <w:sz w:val="19"/>
              </w:rPr>
              <w:t>二次验证 85 / 自动放行 19 / 转人工复核 16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符合预期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证据链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抽样预警</w:t>
            </w:r>
          </w:p>
        </w:tc>
        <w:tc>
          <w:tcPr>
            <w:tcW w:type="dxa" w:w="4309"/>
          </w:tcPr>
          <w:p>
            <w:r>
              <w:rPr>
                <w:rFonts w:ascii="微软雅黑" w:hAnsi="微软雅黑" w:eastAsia="微软雅黑"/>
                <w:sz w:val="19"/>
              </w:rPr>
              <w:t>含量化证据（时段笔数、金额、偏离倍数、组合加成）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符合预期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处置确认闭环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人工确认</w:t>
            </w:r>
          </w:p>
        </w:tc>
        <w:tc>
          <w:tcPr>
            <w:tcW w:type="dxa" w:w="4309"/>
          </w:tcPr>
          <w:p>
            <w:r>
              <w:rPr>
                <w:rFonts w:ascii="微软雅黑" w:hAnsi="微软雅黑" w:eastAsia="微软雅黑"/>
                <w:sz w:val="19"/>
              </w:rPr>
              <w:t>预警状态与处置动作更新并写入审计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符合预期</w:t>
            </w:r>
          </w:p>
        </w:tc>
      </w:tr>
    </w:tbl>
    <w:p/>
    <w:p>
      <w:pPr>
        <w:pStyle w:val="Heading2"/>
      </w:pPr>
      <w:r>
        <w:t>4.3 AI 审核一致性管理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701"/>
        <w:gridCol w:w="4309"/>
        <w:gridCol w:w="1247"/>
      </w:tblGrid>
      <w:tr>
        <w:tc>
          <w:tcPr>
            <w:tcW w:type="dxa" w:w="181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试运行项</w:t>
            </w:r>
          </w:p>
        </w:tc>
        <w:tc>
          <w:tcPr>
            <w:tcW w:type="dxa" w:w="170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4309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输出/实测</w:t>
            </w:r>
          </w:p>
        </w:tc>
        <w:tc>
          <w:tcPr>
            <w:tcW w:type="dxa" w:w="1247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审核批次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40 笔抽样</w:t>
            </w:r>
          </w:p>
        </w:tc>
        <w:tc>
          <w:tcPr>
            <w:tcW w:type="dxa" w:w="4309"/>
          </w:tcPr>
          <w:p>
            <w:r>
              <w:rPr>
                <w:rFonts w:ascii="微软雅黑" w:hAnsi="微软雅黑" w:eastAsia="微软雅黑"/>
                <w:sz w:val="19"/>
              </w:rPr>
              <w:t>AI 初审 40 笔 + 人工复核 40 笔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符合预期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核心一致性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同上</w:t>
            </w:r>
          </w:p>
        </w:tc>
        <w:tc>
          <w:tcPr>
            <w:tcW w:type="dxa" w:w="4309"/>
          </w:tcPr>
          <w:p>
            <w:r>
              <w:rPr>
                <w:rFonts w:ascii="微软雅黑" w:hAnsi="微软雅黑" w:eastAsia="微软雅黑"/>
                <w:sz w:val="19"/>
              </w:rPr>
              <w:t>96.0%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达标（目标 ≥95%）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Cohen's Kappa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同上</w:t>
            </w:r>
          </w:p>
        </w:tc>
        <w:tc>
          <w:tcPr>
            <w:tcW w:type="dxa" w:w="4309"/>
          </w:tcPr>
          <w:p>
            <w:r>
              <w:rPr>
                <w:rFonts w:ascii="微软雅黑" w:hAnsi="微软雅黑" w:eastAsia="微软雅黑"/>
                <w:sz w:val="19"/>
              </w:rPr>
              <w:t>0.907（几乎完全一致）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达标（目标 ≥0.75）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自动化率 / 转人工率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同上</w:t>
            </w:r>
          </w:p>
        </w:tc>
        <w:tc>
          <w:tcPr>
            <w:tcW w:type="dxa" w:w="4309"/>
          </w:tcPr>
          <w:p>
            <w:r>
              <w:rPr>
                <w:rFonts w:ascii="微软雅黑" w:hAnsi="微软雅黑" w:eastAsia="微软雅黑"/>
                <w:sz w:val="19"/>
              </w:rPr>
              <w:t>62.5% / 37.5%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符合预期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漏放 / 误拦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同上</w:t>
            </w:r>
          </w:p>
        </w:tc>
        <w:tc>
          <w:tcPr>
            <w:tcW w:type="dxa" w:w="4309"/>
          </w:tcPr>
          <w:p>
            <w:r>
              <w:rPr>
                <w:rFonts w:ascii="微软雅黑" w:hAnsi="微软雅黑" w:eastAsia="微软雅黑"/>
                <w:sz w:val="19"/>
              </w:rPr>
              <w:t>0 笔 / 0 笔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符合预期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效率对比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同上</w:t>
            </w:r>
          </w:p>
        </w:tc>
        <w:tc>
          <w:tcPr>
            <w:tcW w:type="dxa" w:w="4309"/>
          </w:tcPr>
          <w:p>
            <w:r>
              <w:rPr>
                <w:rFonts w:ascii="微软雅黑" w:hAnsi="微软雅黑" w:eastAsia="微软雅黑"/>
                <w:sz w:val="19"/>
              </w:rPr>
              <w:t>AI 平均 92ms vs 人工平均 142s（约 1500 倍）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符合预期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策略寻优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全量样本</w:t>
            </w:r>
          </w:p>
        </w:tc>
        <w:tc>
          <w:tcPr>
            <w:tcW w:type="dxa" w:w="4309"/>
          </w:tcPr>
          <w:p>
            <w:r>
              <w:rPr>
                <w:rFonts w:ascii="微软雅黑" w:hAnsi="微软雅黑" w:eastAsia="微软雅黑"/>
                <w:sz w:val="19"/>
              </w:rPr>
              <w:t>20 组候选复盘，按硬约束筛选出更优策略并成功应用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符合预期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口径正确性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同上</w:t>
            </w:r>
          </w:p>
        </w:tc>
        <w:tc>
          <w:tcPr>
            <w:tcW w:type="dxa" w:w="4309"/>
          </w:tcPr>
          <w:p>
            <w:r>
              <w:rPr>
                <w:rFonts w:ascii="微软雅黑" w:hAnsi="微软雅黑" w:eastAsia="微软雅黑"/>
                <w:sz w:val="19"/>
              </w:rPr>
              <w:t>转人工计入协同率而非分歧；总体协同率 ≥ 核心一致性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符合预期</w:t>
            </w:r>
          </w:p>
        </w:tc>
      </w:tr>
    </w:tbl>
    <w:p/>
    <w:p>
      <w:pPr>
        <w:pStyle w:val="Heading2"/>
      </w:pPr>
      <w:r>
        <w:t>4.4 隐私计算与合规能力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701"/>
        <w:gridCol w:w="4309"/>
        <w:gridCol w:w="1247"/>
      </w:tblGrid>
      <w:tr>
        <w:tc>
          <w:tcPr>
            <w:tcW w:type="dxa" w:w="181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试运行项</w:t>
            </w:r>
          </w:p>
        </w:tc>
        <w:tc>
          <w:tcPr>
            <w:tcW w:type="dxa" w:w="170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4309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输出/实测</w:t>
            </w:r>
          </w:p>
        </w:tc>
        <w:tc>
          <w:tcPr>
            <w:tcW w:type="dxa" w:w="1247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联邦建模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三节点 10 轮</w:t>
            </w:r>
          </w:p>
        </w:tc>
        <w:tc>
          <w:tcPr>
            <w:tcW w:type="dxa" w:w="4309"/>
          </w:tcPr>
          <w:p>
            <w:r>
              <w:rPr>
                <w:rFonts w:ascii="微软雅黑" w:hAnsi="微软雅黑" w:eastAsia="微软雅黑"/>
                <w:sz w:val="19"/>
              </w:rPr>
              <w:t>AUC 0.8488、漏检率 6.98%、与明文偏差 0.0062、压缩 64.29%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达标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匿踪查询（OPRF）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商户 vs OFAC/UN</w:t>
            </w:r>
          </w:p>
        </w:tc>
        <w:tc>
          <w:tcPr>
            <w:tcW w:type="dxa" w:w="4309"/>
          </w:tcPr>
          <w:p>
            <w:r>
              <w:rPr>
                <w:rFonts w:ascii="微软雅黑" w:hAnsi="微软雅黑" w:eastAsia="微软雅黑"/>
                <w:sz w:val="19"/>
              </w:rPr>
              <w:t>命中 OFAC，5.29ms（预热后）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达标（≤300ms）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联合统计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2,680 笔</w:t>
            </w:r>
          </w:p>
        </w:tc>
        <w:tc>
          <w:tcPr>
            <w:tcW w:type="dxa" w:w="4309"/>
          </w:tcPr>
          <w:p>
            <w:r>
              <w:rPr>
                <w:rFonts w:ascii="微软雅黑" w:hAnsi="微软雅黑" w:eastAsia="微软雅黑"/>
                <w:sz w:val="19"/>
              </w:rPr>
              <w:t>误差率 0.038%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达标（≤1%）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合规校验阻断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P1 未授权出境</w:t>
            </w:r>
          </w:p>
        </w:tc>
        <w:tc>
          <w:tcPr>
            <w:tcW w:type="dxa" w:w="4309"/>
          </w:tcPr>
          <w:p>
            <w:r>
              <w:rPr>
                <w:rFonts w:ascii="微软雅黑" w:hAnsi="微软雅黑" w:eastAsia="微软雅黑"/>
                <w:sz w:val="19"/>
              </w:rPr>
              <w:t>判定 blocked 并生成 3 条整改项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符合预期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合规校验放行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要件齐备</w:t>
            </w:r>
          </w:p>
        </w:tc>
        <w:tc>
          <w:tcPr>
            <w:tcW w:type="dxa" w:w="4309"/>
          </w:tcPr>
          <w:p>
            <w:r>
              <w:rPr>
                <w:rFonts w:ascii="微软雅黑" w:hAnsi="微软雅黑" w:eastAsia="微软雅黑"/>
                <w:sz w:val="19"/>
              </w:rPr>
              <w:t>判定 passed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符合预期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链完整性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篡改区块后校验</w:t>
            </w:r>
          </w:p>
        </w:tc>
        <w:tc>
          <w:tcPr>
            <w:tcW w:type="dxa" w:w="4309"/>
          </w:tcPr>
          <w:p>
            <w:r>
              <w:rPr>
                <w:rFonts w:ascii="微软雅黑" w:hAnsi="微软雅黑" w:eastAsia="微软雅黑"/>
                <w:sz w:val="19"/>
              </w:rPr>
              <w:t>定位到断裂高度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符合预期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越权防护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商户访问管理接口</w:t>
            </w:r>
          </w:p>
        </w:tc>
        <w:tc>
          <w:tcPr>
            <w:tcW w:type="dxa" w:w="4309"/>
          </w:tcPr>
          <w:p>
            <w:r>
              <w:rPr>
                <w:rFonts w:ascii="微软雅黑" w:hAnsi="微软雅黑" w:eastAsia="微软雅黑"/>
                <w:sz w:val="19"/>
              </w:rPr>
              <w:t>403 权限不足</w:t>
            </w:r>
          </w:p>
        </w:tc>
        <w:tc>
          <w:tcPr>
            <w:tcW w:type="dxa" w:w="1247"/>
          </w:tcPr>
          <w:p>
            <w:r>
              <w:rPr>
                <w:rFonts w:ascii="微软雅黑" w:hAnsi="微软雅黑" w:eastAsia="微软雅黑"/>
                <w:sz w:val="19"/>
              </w:rPr>
              <w:t>符合预期</w:t>
            </w:r>
          </w:p>
        </w:tc>
      </w:tr>
    </w:tbl>
    <w:p/>
    <w:p>
      <w:pPr>
        <w:pStyle w:val="Heading2"/>
      </w:pPr>
      <w:r>
        <w:t>4.5 AI 风控大脑与运营决策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5443"/>
        <w:gridCol w:w="1814"/>
      </w:tblGrid>
      <w:tr>
        <w:tc>
          <w:tcPr>
            <w:tcW w:type="dxa" w:w="181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试运行项</w:t>
            </w:r>
          </w:p>
        </w:tc>
        <w:tc>
          <w:tcPr>
            <w:tcW w:type="dxa" w:w="5443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实测</w:t>
            </w:r>
          </w:p>
        </w:tc>
        <w:tc>
          <w:tcPr>
            <w:tcW w:type="dxa" w:w="181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脑区图谱</w:t>
            </w:r>
          </w:p>
        </w:tc>
        <w:tc>
          <w:tcPr>
            <w:tcW w:type="dxa" w:w="5443"/>
          </w:tcPr>
          <w:p>
            <w:r>
              <w:rPr>
                <w:rFonts w:ascii="微软雅黑" w:hAnsi="微软雅黑" w:eastAsia="微软雅黑"/>
                <w:sz w:val="19"/>
              </w:rPr>
              <w:t>17 个脑区（感知 4 / 计算 10 / 输出 3），31 条数据通路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符合预期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实时负载</w:t>
            </w:r>
          </w:p>
        </w:tc>
        <w:tc>
          <w:tcPr>
            <w:tcW w:type="dxa" w:w="5443"/>
          </w:tcPr>
          <w:p>
            <w:r>
              <w:rPr>
                <w:rFonts w:ascii="微软雅黑" w:hAnsi="微软雅黑" w:eastAsia="微软雅黑"/>
                <w:sz w:val="19"/>
              </w:rPr>
              <w:t>脑区负载与指标由真实业务数据驱动（如审核一致性核负载 90%、核心一致性 96.1%）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符合预期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决策建议</w:t>
            </w:r>
          </w:p>
        </w:tc>
        <w:tc>
          <w:tcPr>
            <w:tcW w:type="dxa" w:w="5443"/>
          </w:tcPr>
          <w:p>
            <w:r>
              <w:rPr>
                <w:rFonts w:ascii="微软雅黑" w:hAnsi="微软雅黑" w:eastAsia="微软雅黑"/>
                <w:sz w:val="19"/>
              </w:rPr>
              <w:t>输出 3 条建议，含优先级、依据、动作、责任角色与预期收益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符合预期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策略评估</w:t>
            </w:r>
          </w:p>
        </w:tc>
        <w:tc>
          <w:tcPr>
            <w:tcW w:type="dxa" w:w="5443"/>
          </w:tcPr>
          <w:p>
            <w:r>
              <w:rPr>
                <w:rFonts w:ascii="微软雅黑" w:hAnsi="微软雅黑" w:eastAsia="微软雅黑"/>
                <w:sz w:val="19"/>
              </w:rPr>
              <w:t>六维归一化对比当前策略与目标基线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符合预期</w:t>
            </w:r>
          </w:p>
        </w:tc>
      </w:tr>
    </w:tbl>
    <w:p/>
    <w:p>
      <w:pPr>
        <w:pStyle w:val="Heading1"/>
      </w:pPr>
      <w:r>
        <w:t>五、关键指标达成情况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494"/>
        <w:gridCol w:w="1474"/>
        <w:gridCol w:w="2268"/>
        <w:gridCol w:w="1928"/>
      </w:tblGrid>
      <w:tr>
        <w:tc>
          <w:tcPr>
            <w:tcW w:type="dxa" w:w="907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49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47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2268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实测</w:t>
            </w:r>
          </w:p>
        </w:tc>
        <w:tc>
          <w:tcPr>
            <w:tcW w:type="dxa" w:w="1928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907"/>
          </w:tcPr>
          <w:p>
            <w:r>
              <w:rPr>
                <w:rFonts w:ascii="微软雅黑" w:hAnsi="微软雅黑" w:eastAsia="微软雅黑"/>
                <w:sz w:val="19"/>
              </w:rPr>
              <w:t>T-01</w:t>
            </w:r>
          </w:p>
        </w:tc>
        <w:tc>
          <w:tcPr>
            <w:tcW w:type="dxa" w:w="2494"/>
          </w:tcPr>
          <w:p>
            <w:r>
              <w:rPr>
                <w:rFonts w:ascii="微软雅黑" w:hAnsi="微软雅黑" w:eastAsia="微软雅黑"/>
                <w:sz w:val="19"/>
              </w:rPr>
              <w:t>匿踪查询响应时间</w:t>
            </w:r>
          </w:p>
        </w:tc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≤ 300 ms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5.29 ms</w:t>
            </w:r>
          </w:p>
        </w:tc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达标</w:t>
            </w:r>
          </w:p>
        </w:tc>
      </w:tr>
      <w:tr>
        <w:tc>
          <w:tcPr>
            <w:tcW w:type="dxa" w:w="907"/>
          </w:tcPr>
          <w:p>
            <w:r>
              <w:rPr>
                <w:rFonts w:ascii="微软雅黑" w:hAnsi="微软雅黑" w:eastAsia="微软雅黑"/>
                <w:sz w:val="19"/>
              </w:rPr>
              <w:t>T-02</w:t>
            </w:r>
          </w:p>
        </w:tc>
        <w:tc>
          <w:tcPr>
            <w:tcW w:type="dxa" w:w="2494"/>
          </w:tcPr>
          <w:p>
            <w:r>
              <w:rPr>
                <w:rFonts w:ascii="微软雅黑" w:hAnsi="微软雅黑" w:eastAsia="微软雅黑"/>
                <w:sz w:val="19"/>
              </w:rPr>
              <w:t>联合统计误差率</w:t>
            </w:r>
          </w:p>
        </w:tc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≤ 1%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0.038%</w:t>
            </w:r>
          </w:p>
        </w:tc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达标</w:t>
            </w:r>
          </w:p>
        </w:tc>
      </w:tr>
      <w:tr>
        <w:tc>
          <w:tcPr>
            <w:tcW w:type="dxa" w:w="907"/>
          </w:tcPr>
          <w:p>
            <w:r>
              <w:rPr>
                <w:rFonts w:ascii="微软雅黑" w:hAnsi="微软雅黑" w:eastAsia="微软雅黑"/>
                <w:sz w:val="19"/>
              </w:rPr>
              <w:t>T-03</w:t>
            </w:r>
          </w:p>
        </w:tc>
        <w:tc>
          <w:tcPr>
            <w:tcW w:type="dxa" w:w="2494"/>
          </w:tcPr>
          <w:p>
            <w:r>
              <w:rPr>
                <w:rFonts w:ascii="微软雅黑" w:hAnsi="微软雅黑" w:eastAsia="微软雅黑"/>
                <w:sz w:val="19"/>
              </w:rPr>
              <w:t>联邦模型 AUC</w:t>
            </w:r>
          </w:p>
        </w:tc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≥ 0.80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0.8488</w:t>
            </w:r>
          </w:p>
        </w:tc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达标</w:t>
            </w:r>
          </w:p>
        </w:tc>
      </w:tr>
      <w:tr>
        <w:tc>
          <w:tcPr>
            <w:tcW w:type="dxa" w:w="907"/>
          </w:tcPr>
          <w:p>
            <w:r>
              <w:rPr>
                <w:rFonts w:ascii="微软雅黑" w:hAnsi="微软雅黑" w:eastAsia="微软雅黑"/>
                <w:sz w:val="19"/>
              </w:rPr>
              <w:t>T-04</w:t>
            </w:r>
          </w:p>
        </w:tc>
        <w:tc>
          <w:tcPr>
            <w:tcW w:type="dxa" w:w="2494"/>
          </w:tcPr>
          <w:p>
            <w:r>
              <w:rPr>
                <w:rFonts w:ascii="微软雅黑" w:hAnsi="微软雅黑" w:eastAsia="微软雅黑"/>
                <w:sz w:val="19"/>
              </w:rPr>
              <w:t>联邦模型漏检率</w:t>
            </w:r>
          </w:p>
        </w:tc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≤ 7%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6.98%</w:t>
            </w:r>
          </w:p>
        </w:tc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达标</w:t>
            </w:r>
          </w:p>
        </w:tc>
      </w:tr>
      <w:tr>
        <w:tc>
          <w:tcPr>
            <w:tcW w:type="dxa" w:w="907"/>
          </w:tcPr>
          <w:p>
            <w:r>
              <w:rPr>
                <w:rFonts w:ascii="微软雅黑" w:hAnsi="微软雅黑" w:eastAsia="微软雅黑"/>
                <w:sz w:val="19"/>
              </w:rPr>
              <w:t>T-05</w:t>
            </w:r>
          </w:p>
        </w:tc>
        <w:tc>
          <w:tcPr>
            <w:tcW w:type="dxa" w:w="2494"/>
          </w:tcPr>
          <w:p>
            <w:r>
              <w:rPr>
                <w:rFonts w:ascii="微软雅黑" w:hAnsi="微软雅黑" w:eastAsia="微软雅黑"/>
                <w:sz w:val="19"/>
              </w:rPr>
              <w:t>与明文建模 AUC 偏差</w:t>
            </w:r>
          </w:p>
        </w:tc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≤ 0.02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0.0062</w:t>
            </w:r>
          </w:p>
        </w:tc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达标</w:t>
            </w:r>
          </w:p>
        </w:tc>
      </w:tr>
      <w:tr>
        <w:tc>
          <w:tcPr>
            <w:tcW w:type="dxa" w:w="907"/>
          </w:tcPr>
          <w:p>
            <w:r>
              <w:rPr>
                <w:rFonts w:ascii="微软雅黑" w:hAnsi="微软雅黑" w:eastAsia="微软雅黑"/>
                <w:sz w:val="19"/>
              </w:rPr>
              <w:t>T-06</w:t>
            </w:r>
          </w:p>
        </w:tc>
        <w:tc>
          <w:tcPr>
            <w:tcW w:type="dxa" w:w="2494"/>
          </w:tcPr>
          <w:p>
            <w:r>
              <w:rPr>
                <w:rFonts w:ascii="微软雅黑" w:hAnsi="微软雅黑" w:eastAsia="微软雅黑"/>
                <w:sz w:val="19"/>
              </w:rPr>
              <w:t>AI 审核核心一致性</w:t>
            </w:r>
          </w:p>
        </w:tc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≥ 95%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96.0%</w:t>
            </w:r>
          </w:p>
        </w:tc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达标</w:t>
            </w:r>
          </w:p>
        </w:tc>
      </w:tr>
      <w:tr>
        <w:tc>
          <w:tcPr>
            <w:tcW w:type="dxa" w:w="907"/>
          </w:tcPr>
          <w:p>
            <w:r>
              <w:rPr>
                <w:rFonts w:ascii="微软雅黑" w:hAnsi="微软雅黑" w:eastAsia="微软雅黑"/>
                <w:sz w:val="19"/>
              </w:rPr>
              <w:t>T-07</w:t>
            </w:r>
          </w:p>
        </w:tc>
        <w:tc>
          <w:tcPr>
            <w:tcW w:type="dxa" w:w="2494"/>
          </w:tcPr>
          <w:p>
            <w:r>
              <w:rPr>
                <w:rFonts w:ascii="微软雅黑" w:hAnsi="微软雅黑" w:eastAsia="微软雅黑"/>
                <w:sz w:val="19"/>
              </w:rPr>
              <w:t>Cohen's Kappa</w:t>
            </w:r>
          </w:p>
        </w:tc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≥ 0.75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0.907</w:t>
            </w:r>
          </w:p>
        </w:tc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达标</w:t>
            </w:r>
          </w:p>
        </w:tc>
      </w:tr>
      <w:tr>
        <w:tc>
          <w:tcPr>
            <w:tcW w:type="dxa" w:w="907"/>
          </w:tcPr>
          <w:p>
            <w:r>
              <w:rPr>
                <w:rFonts w:ascii="微软雅黑" w:hAnsi="微软雅黑" w:eastAsia="微软雅黑"/>
                <w:sz w:val="19"/>
              </w:rPr>
              <w:t>T-08</w:t>
            </w:r>
          </w:p>
        </w:tc>
        <w:tc>
          <w:tcPr>
            <w:tcW w:type="dxa" w:w="2494"/>
          </w:tcPr>
          <w:p>
            <w:r>
              <w:rPr>
                <w:rFonts w:ascii="微软雅黑" w:hAnsi="微软雅黑" w:eastAsia="微软雅黑"/>
                <w:sz w:val="19"/>
              </w:rPr>
              <w:t>审核自动化率</w:t>
            </w:r>
          </w:p>
        </w:tc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≥ 60%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62.5%</w:t>
            </w:r>
          </w:p>
        </w:tc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达标</w:t>
            </w:r>
          </w:p>
        </w:tc>
      </w:tr>
      <w:tr>
        <w:tc>
          <w:tcPr>
            <w:tcW w:type="dxa" w:w="907"/>
          </w:tcPr>
          <w:p>
            <w:r>
              <w:rPr>
                <w:rFonts w:ascii="微软雅黑" w:hAnsi="微软雅黑" w:eastAsia="微软雅黑"/>
                <w:sz w:val="19"/>
              </w:rPr>
              <w:t>T-09</w:t>
            </w:r>
          </w:p>
        </w:tc>
        <w:tc>
          <w:tcPr>
            <w:tcW w:type="dxa" w:w="2494"/>
          </w:tcPr>
          <w:p>
            <w:r>
              <w:rPr>
                <w:rFonts w:ascii="微软雅黑" w:hAnsi="微软雅黑" w:eastAsia="微软雅黑"/>
                <w:sz w:val="19"/>
              </w:rPr>
              <w:t>端到端用例通过率</w:t>
            </w:r>
          </w:p>
        </w:tc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100%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113/113</w:t>
            </w:r>
          </w:p>
        </w:tc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达标</w:t>
            </w:r>
          </w:p>
        </w:tc>
      </w:tr>
      <w:tr>
        <w:tc>
          <w:tcPr>
            <w:tcW w:type="dxa" w:w="907"/>
          </w:tcPr>
          <w:p>
            <w:r>
              <w:rPr>
                <w:rFonts w:ascii="微软雅黑" w:hAnsi="微软雅黑" w:eastAsia="微软雅黑"/>
                <w:sz w:val="19"/>
              </w:rPr>
              <w:t>T-10</w:t>
            </w:r>
          </w:p>
        </w:tc>
        <w:tc>
          <w:tcPr>
            <w:tcW w:type="dxa" w:w="2494"/>
          </w:tcPr>
          <w:p>
            <w:r>
              <w:rPr>
                <w:rFonts w:ascii="微软雅黑" w:hAnsi="微软雅黑" w:eastAsia="微软雅黑"/>
                <w:sz w:val="19"/>
              </w:rPr>
              <w:t>单元测试通过率</w:t>
            </w:r>
          </w:p>
        </w:tc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100%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14/14</w:t>
            </w:r>
          </w:p>
        </w:tc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达标</w:t>
            </w:r>
          </w:p>
        </w:tc>
      </w:tr>
    </w:tbl>
    <w:p/>
    <w:p>
      <w:pPr>
        <w:pStyle w:val="Heading1"/>
      </w:pPr>
      <w:r>
        <w:t>六、试运行期间发现的问题与处理</w:t>
      </w:r>
    </w:p>
    <w:p>
      <w:r>
        <w:rPr>
          <w:rFonts w:ascii="微软雅黑" w:hAnsi="微软雅黑" w:eastAsia="微软雅黑"/>
          <w:b w:val="0"/>
        </w:rPr>
        <w:t>试运行共发现并修复 17 个缺陷（完整清单见《测试方案与测试报告》第四章），其中试运行阶段暴露的典型问题如下：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2154"/>
        <w:gridCol w:w="2154"/>
        <w:gridCol w:w="2041"/>
        <w:gridCol w:w="1134"/>
      </w:tblGrid>
      <w:tr>
        <w:tc>
          <w:tcPr>
            <w:tcW w:type="dxa" w:w="1587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215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215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根因</w:t>
            </w:r>
          </w:p>
        </w:tc>
        <w:tc>
          <w:tcPr>
            <w:tcW w:type="dxa" w:w="204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处理</w:t>
            </w:r>
          </w:p>
        </w:tc>
        <w:tc>
          <w:tcPr>
            <w:tcW w:type="dxa" w:w="113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验证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9"/>
              </w:rPr>
              <w:t>登录接口 500</w:t>
            </w:r>
          </w:p>
        </w:tc>
        <w:tc>
          <w:tcPr>
            <w:tcW w:type="dxa" w:w="2154"/>
          </w:tcPr>
          <w:p>
            <w:r>
              <w:rPr>
                <w:rFonts w:ascii="微软雅黑" w:hAnsi="微软雅黑" w:eastAsia="微软雅黑"/>
                <w:sz w:val="19"/>
              </w:rPr>
              <w:t>首次登录成功、二次登录必失败</w:t>
            </w:r>
          </w:p>
        </w:tc>
        <w:tc>
          <w:tcPr>
            <w:tcW w:type="dxa" w:w="2154"/>
          </w:tcPr>
          <w:p>
            <w:r>
              <w:rPr>
                <w:rFonts w:ascii="微软雅黑" w:hAnsi="微软雅黑" w:eastAsia="微软雅黑"/>
                <w:sz w:val="19"/>
              </w:rPr>
              <w:t>风险评分读取了不存在的 AuditLog.region 字段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改读 node 字段并兜底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连续登录 5 次通过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9"/>
              </w:rPr>
              <w:t>合规阻断失效</w:t>
            </w:r>
          </w:p>
        </w:tc>
        <w:tc>
          <w:tcPr>
            <w:tcW w:type="dxa" w:w="2154"/>
          </w:tcPr>
          <w:p>
            <w:r>
              <w:rPr>
                <w:rFonts w:ascii="微软雅黑" w:hAnsi="微软雅黑" w:eastAsia="微软雅黑"/>
                <w:sz w:val="19"/>
              </w:rPr>
              <w:t>P1 未授权出境被判为合规</w:t>
            </w:r>
          </w:p>
        </w:tc>
        <w:tc>
          <w:tcPr>
            <w:tcW w:type="dxa" w:w="2154"/>
          </w:tcPr>
          <w:p>
            <w:r>
              <w:rPr>
                <w:rFonts w:ascii="微软雅黑" w:hAnsi="微软雅黑" w:eastAsia="微软雅黑"/>
                <w:sz w:val="19"/>
              </w:rPr>
              <w:t>规则引擎把「命中的阻断动作」判为通过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重写判定语义（blocked/failed/passed）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端到端用例通过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9"/>
              </w:rPr>
              <w:t>预警量失真</w:t>
            </w:r>
          </w:p>
        </w:tc>
        <w:tc>
          <w:tcPr>
            <w:tcW w:type="dxa" w:w="2154"/>
          </w:tcPr>
          <w:p>
            <w:r>
              <w:rPr>
                <w:rFonts w:ascii="微软雅黑" w:hAnsi="微软雅黑" w:eastAsia="微软雅黑"/>
                <w:sz w:val="19"/>
              </w:rPr>
              <w:t>1,500 笔交易产生 892 条预警</w:t>
            </w:r>
          </w:p>
        </w:tc>
        <w:tc>
          <w:tcPr>
            <w:tcW w:type="dxa" w:w="2154"/>
          </w:tcPr>
          <w:p>
            <w:r>
              <w:rPr>
                <w:rFonts w:ascii="微软雅黑" w:hAnsi="微软雅黑" w:eastAsia="微软雅黑"/>
                <w:sz w:val="19"/>
              </w:rPr>
              <w:t>把整批交易误当作 1 小时窗口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改为按「商户 × 小时」统计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预警降至 120 条且规则分布合理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9"/>
              </w:rPr>
              <w:t>策略优化越优化越差</w:t>
            </w:r>
          </w:p>
        </w:tc>
        <w:tc>
          <w:tcPr>
            <w:tcW w:type="dxa" w:w="2154"/>
          </w:tcPr>
          <w:p>
            <w:r>
              <w:rPr>
                <w:rFonts w:ascii="微软雅黑" w:hAnsi="微软雅黑" w:eastAsia="微软雅黑"/>
                <w:sz w:val="19"/>
              </w:rPr>
              <w:t>优化后一致性 68.8%→37.5%、漏放 0→22</w:t>
            </w:r>
          </w:p>
        </w:tc>
        <w:tc>
          <w:tcPr>
            <w:tcW w:type="dxa" w:w="2154"/>
          </w:tcPr>
          <w:p>
            <w:r>
              <w:rPr>
                <w:rFonts w:ascii="微软雅黑" w:hAnsi="微软雅黑" w:eastAsia="微软雅黑"/>
                <w:sz w:val="19"/>
              </w:rPr>
              <w:t>复盘使用虚构特征，非真实审核特征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审核特征向量入库后复盘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优化结果可复现且不劣化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9"/>
              </w:rPr>
              <w:t>批次号冲突</w:t>
            </w:r>
          </w:p>
        </w:tc>
        <w:tc>
          <w:tcPr>
            <w:tcW w:type="dxa" w:w="2154"/>
          </w:tcPr>
          <w:p>
            <w:r>
              <w:rPr>
                <w:rFonts w:ascii="微软雅黑" w:hAnsi="微软雅黑" w:eastAsia="微软雅黑"/>
                <w:sz w:val="19"/>
              </w:rPr>
              <w:t>执行第二批审核时报主键冲突</w:t>
            </w:r>
          </w:p>
        </w:tc>
        <w:tc>
          <w:tcPr>
            <w:tcW w:type="dxa" w:w="2154"/>
          </w:tcPr>
          <w:p>
            <w:r>
              <w:rPr>
                <w:rFonts w:ascii="微软雅黑" w:hAnsi="微软雅黑" w:eastAsia="微软雅黑"/>
                <w:sz w:val="19"/>
              </w:rPr>
              <w:t>批次号按记录数整除生成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改为按已有批次数 +1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连续执行 7 个批次无冲突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9"/>
              </w:rPr>
              <w:t>处置分布失真</w:t>
            </w:r>
          </w:p>
        </w:tc>
        <w:tc>
          <w:tcPr>
            <w:tcW w:type="dxa" w:w="2154"/>
          </w:tcPr>
          <w:p>
            <w:r>
              <w:rPr>
                <w:rFonts w:ascii="微软雅黑" w:hAnsi="微软雅黑" w:eastAsia="微软雅黑"/>
                <w:sz w:val="19"/>
              </w:rPr>
              <w:t>自动处置率恒为 0</w:t>
            </w:r>
          </w:p>
        </w:tc>
        <w:tc>
          <w:tcPr>
            <w:tcW w:type="dxa" w:w="2154"/>
          </w:tcPr>
          <w:p>
            <w:r>
              <w:rPr>
                <w:rFonts w:ascii="微软雅黑" w:hAnsi="微软雅黑" w:eastAsia="微软雅黑"/>
                <w:sz w:val="19"/>
              </w:rPr>
              <w:t>预警仅落库分数最高 80 条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全量落库（上限 200 条）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处置分布正常呈现</w:t>
            </w:r>
          </w:p>
        </w:tc>
      </w:tr>
    </w:tbl>
    <w:p/>
    <w:p>
      <w:pPr>
        <w:pStyle w:val="Heading1"/>
      </w:pPr>
      <w:r>
        <w:t>七、用户反馈（演示评审收集）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381"/>
        <w:gridCol w:w="3402"/>
        <w:gridCol w:w="1587"/>
      </w:tblGrid>
      <w:tr>
        <w:tc>
          <w:tcPr>
            <w:tcW w:type="dxa" w:w="170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238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关注点</w:t>
            </w:r>
          </w:p>
        </w:tc>
        <w:tc>
          <w:tcPr>
            <w:tcW w:type="dxa" w:w="3402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反馈</w:t>
            </w:r>
          </w:p>
        </w:tc>
        <w:tc>
          <w:tcPr>
            <w:tcW w:type="dxa" w:w="1587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处理情况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运营端（PingPong）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19"/>
              </w:rPr>
              <w:t>支付成功率、补偿率、异常处置效率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认可自动重试与补偿闭环；建议增加通道成本对比报表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9"/>
              </w:rPr>
              <w:t>已列入后续迭代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合规端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19"/>
              </w:rPr>
              <w:t>审核一致性、合规阻断、证据可追溯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认可一致性量化与策略可回滚；关注模板法规条目的准确性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9"/>
              </w:rPr>
              <w:t>模板条目不参与阻断判断，待法务校对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监管端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19"/>
              </w:rPr>
              <w:t>存证完整性、报告合规性、数据可追溯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认可链式存证与篡改检出；建议补充报告导出格式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9"/>
              </w:rPr>
              <w:t>已列入后续迭代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商户端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19"/>
              </w:rPr>
              <w:t>支付时效、失败原因可见性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认可全链路状态可见；建议开放自助查询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9"/>
              </w:rPr>
              <w:t>已列入后续迭代</w:t>
            </w:r>
          </w:p>
        </w:tc>
      </w:tr>
    </w:tbl>
    <w:p/>
    <w:p>
      <w:pPr>
        <w:ind w:left="227"/>
      </w:pPr>
      <w:r>
        <w:rPr>
          <w:rFonts w:ascii="微软雅黑" w:hAnsi="微软雅黑" w:eastAsia="微软雅黑"/>
          <w:i/>
          <w:color w:val="5C6B7F"/>
          <w:sz w:val="19"/>
        </w:rPr>
        <w:t>说明：上表为演示评审阶段收集的角色化反馈；面向真实客户的问卷调研建议复赛阶段补充。调研记录：【待团队填写】</w:t>
      </w:r>
    </w:p>
    <w:p>
      <w:pPr>
        <w:pStyle w:val="Heading1"/>
      </w:pPr>
      <w:r>
        <w:t>八、试运行结论与转生产建议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功能结论：赛题五大建设范围全部实现并稳定运行，113 项端到端用例 100% 通过；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指标结论：10 项关键指标全部达标，其中匿踪查询、统计误差、模型精度均有较大裕度；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质量结论：试运行共修复 17 个缺陷，无遗留的阻断级问题；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待补项：前端浏览器渲染实测、真实多节点网络联调、MySQL/国产数据库兼容性验证；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转生产建议：① 数据库切换至 MySQL 并配置主从；② 密钥托管接入 KMS；③ 联盟链替换为真实 Fabric 网络；④ 同态加密引入硬件加速；⑤ 补充压测与容量规划；⑥ 建立模型与规则的线上监控与灰度机制。</w:t>
      </w:r>
    </w:p>
    <w:sectPr w:rsidR="00FC693F" w:rsidRPr="0006063C" w:rsidSect="00034616">
      <w:pgSz w:w="12240" w:h="15840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5FD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5F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27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