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5FD8"/>
          <w:sz w:val="44"/>
        </w:rPr>
        <w:t>项目验收报告</w:t>
      </w:r>
    </w:p>
    <w:p>
      <w:pPr>
        <w:jc w:val="center"/>
      </w:pPr>
      <w:r>
        <w:rPr>
          <w:rFonts w:ascii="微软雅黑" w:hAnsi="微软雅黑" w:eastAsia="微软雅黑"/>
          <w:color w:val="5C6B7F"/>
          <w:sz w:val="22"/>
        </w:rPr>
        <w:t>FedShield · AI 风控合规智能大脑 ／ 赛题 A16 任务清单（11）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赛题编号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A16（本科组·应用类·人工智能方向）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赛题名称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面向全球支付场景的 AI 驱动风控合规智能大脑框架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命题企业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杭州乒乓智能技术有限公司（PingPong）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FedShield · AI 风控合规智能大脑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Vue 3 + Element Plus + Vite ／ Flask + SQLAlchemy ／ 联邦学习 + 同态加密 + 差分隐私 + 联盟链存证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代码规模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行（Vue 17,108 行、Python 12,961 行）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功能规模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11 个业务蓝图 / 116 条 API / 31 张数据表 / 29 个页面</w:t>
            </w:r>
          </w:p>
        </w:tc>
      </w:tr>
      <w:tr>
        <w:tc>
          <w:tcPr>
            <w:tcW w:type="dxa" w:w="2041"/>
            <w:shd w:val="clear" w:fill="F2F5FA"/>
          </w:tcPr>
          <w:p>
            <w:r>
              <w:rPr>
                <w:rFonts w:ascii="微软雅黑" w:hAnsi="微软雅黑" w:eastAsia="微软雅黑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</w:tr>
    </w:tbl>
    <w:p/>
    <w:p>
      <w:pPr>
        <w:pStyle w:val="Heading1"/>
      </w:pPr>
      <w:r>
        <w:t>一、验收依据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《2026“数字马力杯”第十三届浙江省大学生服务外包创新应用大赛赛题手册》A16 命题要求；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A16 任务清单（11 项文档 + 系统原型/演示视频）；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团队《项目详细方案》《系统架构设计》《产品使用手册》等既有文档；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本项目《需求调研报告》《总体建设方案》《测试方案与测试报告》设定的指标与验收标准。</w:t>
      </w:r>
    </w:p>
    <w:p>
      <w:pPr>
        <w:pStyle w:val="Heading1"/>
      </w:pPr>
      <w:r>
        <w:t>二、验收范围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762"/>
        <w:gridCol w:w="2835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验收对象</w:t>
            </w:r>
          </w:p>
        </w:tc>
        <w:tc>
          <w:tcPr>
            <w:tcW w:type="dxa" w:w="4762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83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验收方式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系统功能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五大建设范围 + 隐私计算底座 + 大脑可视化（29 个页面、116 条接口）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功能演示 + 端到端自动化测试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关键指标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10 项量化指标（性能、精度、一致性、效率）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实测数据核验 + 可复现执行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交付文档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赛题任务清单 11 份文档 + 团队既有文档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文档校核（结构、内容、排版）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代码质量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静态检查 + 编译验证 + 单测 + 端到端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过程材料</w:t>
            </w:r>
          </w:p>
        </w:tc>
        <w:tc>
          <w:tcPr>
            <w:tcW w:type="dxa" w:w="4762"/>
          </w:tcPr>
          <w:p>
            <w:r>
              <w:rPr>
                <w:rFonts w:ascii="微软雅黑" w:hAnsi="微软雅黑" w:eastAsia="微软雅黑"/>
                <w:sz w:val="19"/>
              </w:rPr>
              <w:t>提交记录、验证报告、缺陷清单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仓库记录核验</w:t>
            </w:r>
          </w:p>
        </w:tc>
      </w:tr>
    </w:tbl>
    <w:p/>
    <w:p>
      <w:pPr>
        <w:pStyle w:val="Heading1"/>
      </w:pPr>
      <w:r>
        <w:t>三、验收方法与执行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175"/>
        <w:gridCol w:w="1928"/>
        <w:gridCol w:w="2608"/>
      </w:tblGrid>
      <w:tr>
        <w:tc>
          <w:tcPr>
            <w:tcW w:type="dxa" w:w="13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317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执行方式</w:t>
            </w:r>
          </w:p>
        </w:tc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通过标准</w:t>
            </w:r>
          </w:p>
        </w:tc>
        <w:tc>
          <w:tcPr>
            <w:tcW w:type="dxa" w:w="260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实测结果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静态检查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python _mycheck/check_project.py all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0 错误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全部通过（47 Python / 37 Vue / 106 前端调用 ↔ 116 路由）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编译验证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使用项目自带 @vue/compiler-sfc 编译全部 SFC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37/37 通过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37/37 通过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单元测试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python -m unittest discover -s backend/tests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14/14 通过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14/14 通过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端到端测试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python _mycheck/e2e_backend.py（独立临时库）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113/113 通过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113/113 通过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真实服务验证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启动开发服务器并发送真实 HTTP 请求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核心接口 200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登录 + 5 个核心接口 200；匿踪查询 5.29ms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文档校核</w:t>
            </w:r>
          </w:p>
        </w:tc>
        <w:tc>
          <w:tcPr>
            <w:tcW w:type="dxa" w:w="3175"/>
          </w:tcPr>
          <w:p>
            <w:r>
              <w:rPr>
                <w:rFonts w:ascii="微软雅黑" w:hAnsi="微软雅黑" w:eastAsia="微软雅黑"/>
                <w:sz w:val="19"/>
              </w:rPr>
              <w:t>Office 官方校验 + 排版自检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verdict=pass、0 问题</w:t>
            </w:r>
          </w:p>
        </w:tc>
        <w:tc>
          <w:tcPr>
            <w:tcW w:type="dxa" w:w="2608"/>
          </w:tcPr>
          <w:p>
            <w:r>
              <w:rPr>
                <w:rFonts w:ascii="微软雅黑" w:hAnsi="微软雅黑" w:eastAsia="微软雅黑"/>
                <w:sz w:val="19"/>
              </w:rPr>
              <w:t>全部 pass、排版 0 问题</w:t>
            </w:r>
          </w:p>
        </w:tc>
      </w:tr>
    </w:tbl>
    <w:p/>
    <w:p>
      <w:pPr>
        <w:pStyle w:val="Heading1"/>
      </w:pPr>
      <w:r>
        <w:t>四、赛题要求逐项验收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041"/>
        <w:gridCol w:w="3061"/>
        <w:gridCol w:w="907"/>
      </w:tblGrid>
      <w:tr>
        <w:tc>
          <w:tcPr>
            <w:tcW w:type="dxa" w:w="30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赛题要求</w:t>
            </w:r>
          </w:p>
        </w:tc>
        <w:tc>
          <w:tcPr>
            <w:tcW w:type="dxa" w:w="20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30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验证证据</w:t>
            </w:r>
          </w:p>
        </w:tc>
        <w:tc>
          <w:tcPr>
            <w:tcW w:type="dxa" w:w="90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建设范围① 支付智能处理（接入/路由/通道/跟踪/重试/异常/补偿）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payment 引擎 + /ops/payment、/ops/channels 页面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端到端 9 项：路由打分、合规前置排除、故障演练下重试率 20%、补偿率 16.7%、全链路事件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建设范围② 智能风控（交易/账户/商户风险、异常检测、实时预警、自动处置）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monitoring 引擎 + /ops/monitoring 页面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端到端 5 项：1,500 笔扫描生成 120 条预警、6 条规则可触发、四档处置分布、商户风险 Top10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建设范围③ 智能合规审核（身份识别、交易审核、可疑行为、自动流转、人工协同）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review 引擎 + 规则引擎 + 分级引擎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端到端 + 单测：合规阻断与放行语义、智能分级准确率 95%、审核批次自动流转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建设范围④ AI 审核一致性管理（统一标准/标签/口径、比对、差异分析、转人工、回流、优化）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review 引擎一致性评估与策略寻优 + /ops/review、/ops/standard 页面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端到端 8 项：核心一致性 96.0%、Kappa 0.907、混淆矩阵、分层一致性、20 组候选寻优、策略应用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建设范围⑤ 运营决策支撑（指标监控、风险分析、策略评估、趋势研判、决策建议）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decision_advice + /ops/decision 页面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端到端 2 项：3 条建议含优先级/依据/角色/预期收益；六维策略评估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背景要求：隐私计算与全球数据合规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crypto 与 engine 模块（联邦/同态/差分隐私/PSI/分级加密）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单测 7 项 + 端到端：AUC 0.8488、偏差 0.0062、统计误差 0.038%、国密国标向量通过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任务清单 11 项文档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docs/交付材料（11 份 DOCX）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Office 官方校验 verdict=pass、排版自检 0 问题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通过</w:t>
            </w:r>
          </w:p>
        </w:tc>
      </w:tr>
      <w:tr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系统原型 / 演示视频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可运行系统 + 演示脚本</w:t>
            </w:r>
          </w:p>
        </w:tc>
        <w:tc>
          <w:tcPr>
            <w:tcW w:type="dxa" w:w="3061"/>
          </w:tcPr>
          <w:p>
            <w:r>
              <w:rPr>
                <w:rFonts w:ascii="微软雅黑" w:hAnsi="微软雅黑" w:eastAsia="微软雅黑"/>
                <w:sz w:val="19"/>
              </w:rPr>
              <w:t>系统可一键启动并演示；演示视频待录制</w:t>
            </w:r>
          </w:p>
        </w:tc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部分通过</w:t>
            </w:r>
          </w:p>
        </w:tc>
      </w:tr>
    </w:tbl>
    <w:p/>
    <w:p>
      <w:pPr>
        <w:pStyle w:val="Heading1"/>
      </w:pPr>
      <w:r>
        <w:t>五、交付物清单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628"/>
        <w:gridCol w:w="2381"/>
        <w:gridCol w:w="1701"/>
      </w:tblGrid>
      <w:tr>
        <w:tc>
          <w:tcPr>
            <w:tcW w:type="dxa" w:w="13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6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38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数量/规模</w:t>
            </w:r>
          </w:p>
        </w:tc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源代码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backend/、frontend/、run.py、启动脚本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112 个受控文件 / 34,053 行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已交付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接口契约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docs/API.md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116 条接口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已交付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验证报告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docs/VERIFICATION.md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四层验证 + 17 个缺陷记录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已交付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说明文档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README.md（含赛题要求与实现对照表）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已交付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交付文档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docs/交付材料 01~11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11 份 DOCX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已交付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演示数据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seed.py 可重复生成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2,703 笔交易等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已交付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演示视频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3~5 分钟全流程演示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1 个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待录制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演示脚本</w:t>
            </w:r>
          </w:p>
        </w:tc>
        <w:tc>
          <w:tcPr>
            <w:tcW w:type="dxa" w:w="3628"/>
          </w:tcPr>
          <w:p>
            <w:r>
              <w:rPr>
                <w:rFonts w:ascii="微软雅黑" w:hAnsi="微软雅黑" w:eastAsia="微软雅黑"/>
                <w:sz w:val="19"/>
              </w:rPr>
              <w:t>讲解词与操作顺序</w:t>
            </w:r>
          </w:p>
        </w:tc>
        <w:tc>
          <w:tcPr>
            <w:tcW w:type="dxa" w:w="2381"/>
          </w:tcPr>
          <w:p>
            <w:r>
              <w:rPr>
                <w:rFonts w:ascii="微软雅黑" w:hAnsi="微软雅黑" w:eastAsia="微软雅黑"/>
                <w:sz w:val="19"/>
              </w:rPr>
              <w:t>1 份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待编写</w:t>
            </w:r>
          </w:p>
        </w:tc>
      </w:tr>
    </w:tbl>
    <w:p/>
    <w:p>
      <w:pPr>
        <w:pStyle w:val="Heading1"/>
      </w:pPr>
      <w:r>
        <w:t>六、未通过项与遗留问题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2041"/>
        <w:gridCol w:w="2835"/>
        <w:gridCol w:w="1928"/>
        <w:gridCol w:w="1361"/>
      </w:tblGrid>
      <w:tr>
        <w:tc>
          <w:tcPr>
            <w:tcW w:type="dxa" w:w="907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04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835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192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36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计划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L-01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前端浏览器渲染与交互实测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已完成 37 个组件的真实编译校验与静态契约校验，未在浏览器实际操作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视觉细节与交互瑕疵可能未被发现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复赛前在有网环境执行前端构建并逐页走查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L-02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演示视频与演示脚本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未录制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赛题要求提交 3~5 分钟演示视频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按《产品使用手册》流程录制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L-03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真实多节点联邦联调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单进程算法仿真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未验证真实网络时延与容错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搭建多节点环境联调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L-04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MySQL / 国产数据库实测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仅验证 SQLite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生产迁移存在未知兼容问题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在目标数据库上执行全量回归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L-05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法规库模板条目校对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224 条中 37 条已人工校对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模板条目不能作为阻断依据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法务逐条校对后转正</w:t>
            </w:r>
          </w:p>
        </w:tc>
      </w:tr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19"/>
              </w:rPr>
              <w:t>L-06</w:t>
            </w:r>
          </w:p>
        </w:tc>
        <w:tc>
          <w:tcPr>
            <w:tcW w:type="dxa" w:w="2041"/>
          </w:tcPr>
          <w:p>
            <w:r>
              <w:rPr>
                <w:rFonts w:ascii="微软雅黑" w:hAnsi="微软雅黑" w:eastAsia="微软雅黑"/>
                <w:sz w:val="19"/>
              </w:rPr>
              <w:t>压测与容量规划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9"/>
              </w:rPr>
              <w:t>未开展</w:t>
            </w:r>
          </w:p>
        </w:tc>
        <w:tc>
          <w:tcPr>
            <w:tcW w:type="dxa" w:w="1928"/>
          </w:tcPr>
          <w:p>
            <w:r>
              <w:rPr>
                <w:rFonts w:ascii="微软雅黑" w:hAnsi="微软雅黑" w:eastAsia="微软雅黑"/>
                <w:sz w:val="19"/>
              </w:rPr>
              <w:t>生产并发能力未知</w:t>
            </w:r>
          </w:p>
        </w:tc>
        <w:tc>
          <w:tcPr>
            <w:tcW w:type="dxa" w:w="1361"/>
          </w:tcPr>
          <w:p>
            <w:r>
              <w:rPr>
                <w:rFonts w:ascii="微软雅黑" w:hAnsi="微软雅黑" w:eastAsia="微软雅黑"/>
                <w:sz w:val="19"/>
              </w:rPr>
              <w:t>补充压测方案与容量评估</w:t>
            </w:r>
          </w:p>
        </w:tc>
      </w:tr>
    </w:tbl>
    <w:p/>
    <w:p>
      <w:pPr>
        <w:pStyle w:val="Heading1"/>
      </w:pPr>
      <w:r>
        <w:t>七、验收结论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系统功能：赛题五大建设范围与隐私计算底座全部实现，29 个页面与 116 条接口完成交付；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质量水平：静态检查、编译验证、14 项单元测试、113 项端到端测试全部通过，试运行修复 17 个缺陷，无遗留阻断级问题；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指标达成：10 项关键指标全部达标（匿踪查询 5.29ms、统计误差 0.038%、AUC 0.8488、一致性 96.0%、Kappa 0.907）；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文档完备：赛题任务清单 11 份文档齐全，均通过结构、内容与排版校核；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遗留事项：6 项遗留问题均已明确责任与计划，其中演示视频为赛题强制项，须在提交前完成；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验收意见：**建议通过验收**，遗留事项按第六章计划闭环。</w:t>
      </w:r>
    </w:p>
    <w:p>
      <w:pPr>
        <w:pStyle w:val="Heading1"/>
      </w:pPr>
      <w:r>
        <w:t>八、验收签署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2268"/>
        <w:gridCol w:w="2494"/>
        <w:gridCol w:w="1134"/>
      </w:tblGrid>
      <w:tr>
        <w:tc>
          <w:tcPr>
            <w:tcW w:type="dxa" w:w="147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701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2268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单位/职务</w:t>
            </w:r>
          </w:p>
        </w:tc>
        <w:tc>
          <w:tcPr>
            <w:tcW w:type="dxa" w:w="249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意见</w:t>
            </w:r>
          </w:p>
        </w:tc>
        <w:tc>
          <w:tcPr>
            <w:tcW w:type="dxa" w:w="1134"/>
            <w:shd w:val="clear" w:fill="1F5FD8"/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签字/日期</w:t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项目负责人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同意提交验收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技术负责人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功能与指标符合设计要求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测试负责人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  <w:t>测试覆盖充分，缺陷已闭环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指导教师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1474"/>
          </w:tcPr>
          <w:p>
            <w:r>
              <w:rPr>
                <w:rFonts w:ascii="微软雅黑" w:hAnsi="微软雅黑" w:eastAsia="微软雅黑"/>
                <w:sz w:val="19"/>
              </w:rPr>
              <w:t>验收组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9"/>
              </w:rPr>
              <w:t>【待团队填写】</w:t>
            </w:r>
          </w:p>
        </w:tc>
        <w:tc>
          <w:tcPr>
            <w:tcW w:type="dxa" w:w="2494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5F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7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