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CA2BC" w14:textId="77777777" w:rsidR="00B40C2D" w:rsidRDefault="00000000">
      <w:pPr>
        <w:pStyle w:val="1"/>
        <w:rPr>
          <w:rFonts w:asciiTheme="majorEastAsia" w:eastAsiaTheme="majorEastAsia" w:hAnsiTheme="majorEastAsia" w:hint="eastAsia"/>
          <w:b w:val="0"/>
          <w:bCs w:val="0"/>
          <w:sz w:val="36"/>
        </w:rPr>
      </w:pPr>
      <w:r>
        <w:rPr>
          <w:rFonts w:asciiTheme="majorEastAsia" w:eastAsiaTheme="majorEastAsia" w:hAnsiTheme="majorEastAsia" w:hint="eastAsia"/>
          <w:sz w:val="36"/>
        </w:rPr>
        <w:t>通过circRNA的多源特性来预测circRNA亚细胞定位</w:t>
      </w:r>
    </w:p>
    <w:p w14:paraId="62CBCFCD" w14:textId="77777777" w:rsidR="00B40C2D" w:rsidRDefault="00000000">
      <w:pPr>
        <w:pStyle w:val="1"/>
        <w:rPr>
          <w:rFonts w:asciiTheme="majorEastAsia" w:eastAsiaTheme="majorEastAsia" w:hAnsiTheme="majorEastAsia" w:hint="eastAsia"/>
          <w:sz w:val="32"/>
          <w:szCs w:val="32"/>
        </w:rPr>
      </w:pPr>
      <w:r>
        <w:rPr>
          <w:rFonts w:asciiTheme="majorEastAsia" w:eastAsiaTheme="majorEastAsia" w:hAnsiTheme="majorEastAsia" w:hint="eastAsia"/>
          <w:sz w:val="32"/>
          <w:szCs w:val="32"/>
        </w:rPr>
        <w:t>摘要</w:t>
      </w:r>
    </w:p>
    <w:p w14:paraId="3FEFCC94" w14:textId="7947C23A"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环状核糖核酸（circRNA）是新型的非编码RNA，尽管在人类的基于中存在大量的circRNA并且参与多种人类生理过程，但是大多数的circRNA的功能仍旧尚未被发掘。迄今为止，wet</w:t>
      </w:r>
      <w:r w:rsidR="00AE3BE5">
        <w:rPr>
          <w:rFonts w:asciiTheme="majorEastAsia" w:eastAsiaTheme="majorEastAsia" w:hAnsiTheme="majorEastAsia" w:cs="Segoe UI" w:hint="eastAsia"/>
          <w:color w:val="404040"/>
          <w:sz w:val="24"/>
        </w:rPr>
        <w:t>-lab</w:t>
      </w:r>
      <w:r>
        <w:rPr>
          <w:rFonts w:asciiTheme="majorEastAsia" w:eastAsiaTheme="majorEastAsia" w:hAnsiTheme="majorEastAsia" w:cs="Segoe UI" w:hint="eastAsia"/>
          <w:color w:val="404040"/>
          <w:sz w:val="24"/>
        </w:rPr>
        <w:t xml:space="preserve"> </w:t>
      </w:r>
      <w:r w:rsidR="00AE3BE5">
        <w:rPr>
          <w:rFonts w:asciiTheme="majorEastAsia" w:eastAsiaTheme="majorEastAsia" w:hAnsiTheme="majorEastAsia" w:cs="Segoe UI" w:hint="eastAsia"/>
          <w:color w:val="404040"/>
          <w:sz w:val="24"/>
        </w:rPr>
        <w:t>experiments</w:t>
      </w:r>
      <w:r>
        <w:rPr>
          <w:rFonts w:asciiTheme="majorEastAsia" w:eastAsiaTheme="majorEastAsia" w:hAnsiTheme="majorEastAsia" w:cs="Segoe UI" w:hint="eastAsia"/>
          <w:color w:val="404040"/>
          <w:sz w:val="24"/>
        </w:rPr>
        <w:t>方法被用于检测circRNA的亚细胞位置，然而通过wet-lab experiments方法检测circRNA的亚细胞位置很昂贵，考虑到近年来深度学习的广泛应用以及其在其它非编码RNA定位预测方面取得的进展，本研究开发了一种预测circRNA亚细胞定位的新型计算方法，称为CircLoc。由于许多的circRNAs具有多个亚细胞定位，因此CircLoc本质上是一种多标签分类器。本研究中采用了circRNA的几个特性，例如circRNA序列、circRNA生物特征、circRNA-disease、circRNA-drug、circRNA-miRNA关联网络生成的信息丰富的circRNA特征，并且采用了强大的node2vec算法和图注意力自动编码器（GATE），产生了8种特征类型。这些特征被作为输入送入到自注意力和全连接层中进行预测，并采用交叉验证来验证结果，结果表明CircLoc的准确率高于0.8，AU-ROC超过0.77，AUPR超过0.42。进一步的测试证明，所有使用的特征类型都可以提高CircLoc的性能，而 GATE 和自注意力层有助于提高性能。</w:t>
      </w:r>
    </w:p>
    <w:p w14:paraId="6D883330" w14:textId="00D063F6" w:rsidR="00B40C2D" w:rsidRDefault="00000000">
      <w:pPr>
        <w:widowControl/>
        <w:ind w:firstLineChars="200" w:firstLine="482"/>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b/>
          <w:bCs/>
          <w:color w:val="404040"/>
          <w:sz w:val="24"/>
        </w:rPr>
        <w:t>关键词：</w:t>
      </w:r>
      <w:r>
        <w:rPr>
          <w:rFonts w:asciiTheme="majorEastAsia" w:eastAsiaTheme="majorEastAsia" w:hAnsiTheme="majorEastAsia" w:cs="Segoe UI" w:hint="eastAsia"/>
          <w:color w:val="404040"/>
          <w:sz w:val="24"/>
        </w:rPr>
        <w:t>circRNA；亚细胞定位；node2vec；图注意力；circRNA-disease关联、circRNA-drug关联；circRNA-miRNA关联</w:t>
      </w:r>
      <w:r w:rsidR="00AE3BE5">
        <w:rPr>
          <w:rFonts w:asciiTheme="majorEastAsia" w:eastAsiaTheme="majorEastAsia" w:hAnsiTheme="majorEastAsia" w:cs="Segoe UI" w:hint="eastAsia"/>
          <w:color w:val="404040"/>
          <w:sz w:val="24"/>
        </w:rPr>
        <w:t>；GATE</w:t>
      </w:r>
    </w:p>
    <w:p w14:paraId="1D20A815" w14:textId="77777777" w:rsidR="00B40C2D" w:rsidRDefault="00000000">
      <w:pPr>
        <w:pStyle w:val="1"/>
        <w:rPr>
          <w:rFonts w:asciiTheme="majorEastAsia" w:eastAsiaTheme="majorEastAsia" w:hAnsiTheme="majorEastAsia" w:cs="Segoe UI" w:hint="eastAsia"/>
          <w:color w:val="404040"/>
          <w:sz w:val="32"/>
          <w:szCs w:val="52"/>
        </w:rPr>
      </w:pPr>
      <w:r>
        <w:rPr>
          <w:rFonts w:asciiTheme="majorEastAsia" w:eastAsiaTheme="majorEastAsia" w:hAnsiTheme="majorEastAsia" w:cs="Segoe UI"/>
          <w:color w:val="404040"/>
          <w:sz w:val="32"/>
          <w:szCs w:val="52"/>
        </w:rPr>
        <w:t>I</w:t>
      </w:r>
      <w:r>
        <w:rPr>
          <w:rFonts w:asciiTheme="majorEastAsia" w:eastAsiaTheme="majorEastAsia" w:hAnsiTheme="majorEastAsia" w:cs="Segoe UI" w:hint="eastAsia"/>
          <w:color w:val="404040"/>
          <w:sz w:val="32"/>
          <w:szCs w:val="52"/>
        </w:rPr>
        <w:t>ntroduction</w:t>
      </w:r>
    </w:p>
    <w:p w14:paraId="206EEF8C" w14:textId="078AFC88" w:rsidR="00B40C2D" w:rsidRDefault="00000000" w:rsidP="004F04CB">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非编码核糖核酸（ncRNAs）现在被认为是十分重要功能，它具有调节神经的作用</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_Ref197433498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[3]</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而并非垃圾序列。研究表明，ncRNAs在</w:t>
      </w:r>
      <w:r>
        <w:rPr>
          <w:rFonts w:asciiTheme="majorEastAsia" w:eastAsiaTheme="majorEastAsia" w:hAnsiTheme="majorEastAsia" w:cs="Segoe UI"/>
          <w:color w:val="404040"/>
          <w:sz w:val="24"/>
        </w:rPr>
        <w:t>细胞分化、基因组印记</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_Ref197434260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t>4</w:t>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rPr>
        <w:t>、基因表达调控</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_Ref197434357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t>5</w:t>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rPr>
        <w:t>等多种生物学过程中发挥关键作用。</w:t>
      </w:r>
      <w:r>
        <w:rPr>
          <w:rFonts w:asciiTheme="majorEastAsia" w:eastAsiaTheme="majorEastAsia" w:hAnsiTheme="majorEastAsia" w:cs="Segoe UI" w:hint="eastAsia"/>
          <w:color w:val="404040"/>
          <w:sz w:val="24"/>
        </w:rPr>
        <w:t>根据序列特征、结构特征，ncRNAs可以被分类多个亚类，</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_Ref198391134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表示了ncRNAs的广泛分类。其中环状核糖核酸（circRNA）作为长链非编码RNA（</w:t>
      </w:r>
      <w:r>
        <w:rPr>
          <w:rFonts w:asciiTheme="majorEastAsia" w:eastAsiaTheme="majorEastAsia" w:hAnsiTheme="majorEastAsia" w:cs="Segoe UI"/>
          <w:color w:val="404040"/>
          <w:sz w:val="24"/>
        </w:rPr>
        <w:t>lncRNA</w:t>
      </w:r>
      <w:r>
        <w:rPr>
          <w:rFonts w:asciiTheme="majorEastAsia" w:eastAsiaTheme="majorEastAsia" w:hAnsiTheme="majorEastAsia" w:cs="Segoe UI" w:hint="eastAsia"/>
          <w:color w:val="404040"/>
          <w:sz w:val="24"/>
        </w:rPr>
        <w:t>）的一种，由于它在细胞过程中的作用，以及作为miRNA海绵的能力等功能，circRNA已经成为RNA研究领域的重要成员</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_Ref197434708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[6]</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w:t>
      </w:r>
    </w:p>
    <w:p w14:paraId="5AE88DC6"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1BB1644D" wp14:editId="7F61969D">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图片 1"/>
                    <pic:cNvPicPr>
                      <a:picLocks noChangeAspect="1"/>
                    </pic:cNvPicPr>
                  </pic:nvPicPr>
                  <pic:blipFill>
                    <a:blip r:embed="rId6"/>
                    <a:stretch>
                      <a:fillRect/>
                    </a:stretch>
                  </pic:blipFill>
                  <pic:spPr>
                    <a:xfrm>
                      <a:off x="0" y="0"/>
                      <a:ext cx="5274310" cy="2128520"/>
                    </a:xfrm>
                    <a:prstGeom prst="rect">
                      <a:avLst/>
                    </a:prstGeom>
                  </pic:spPr>
                </pic:pic>
              </a:graphicData>
            </a:graphic>
          </wp:inline>
        </w:drawing>
      </w:r>
    </w:p>
    <w:p w14:paraId="0CB14140" w14:textId="2F464788" w:rsidR="00B40C2D" w:rsidRDefault="00000000" w:rsidP="004F04CB">
      <w:pPr>
        <w:pStyle w:val="a3"/>
        <w:jc w:val="left"/>
        <w:rPr>
          <w:rFonts w:asciiTheme="majorEastAsia" w:eastAsiaTheme="majorEastAsia" w:hAnsiTheme="majorEastAsia" w:hint="eastAsia"/>
        </w:rPr>
      </w:pPr>
      <w:bookmarkStart w:id="0" w:name="_Ref198391134"/>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1</w:t>
      </w:r>
      <w:r>
        <w:rPr>
          <w:rFonts w:asciiTheme="majorEastAsia" w:eastAsiaTheme="majorEastAsia" w:hAnsiTheme="majorEastAsia"/>
        </w:rPr>
        <w:fldChar w:fldCharType="end"/>
      </w:r>
      <w:bookmarkEnd w:id="0"/>
      <w:r>
        <w:rPr>
          <w:rFonts w:asciiTheme="majorEastAsia" w:eastAsiaTheme="majorEastAsia" w:hAnsiTheme="majorEastAsia" w:hint="eastAsia"/>
        </w:rPr>
        <w:t>．非编码RNA的分层分类</w:t>
      </w:r>
    </w:p>
    <w:p w14:paraId="0720F3F1"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尽管早在60年前circRNAs存在哺乳动物、植物类病毒中</w:t>
      </w:r>
      <w:proofErr w:type="gramStart"/>
      <w:r>
        <w:rPr>
          <w:rFonts w:asciiTheme="majorEastAsia" w:eastAsiaTheme="majorEastAsia" w:hAnsiTheme="majorEastAsia" w:cs="Segoe UI" w:hint="eastAsia"/>
          <w:color w:val="404040"/>
          <w:sz w:val="24"/>
        </w:rPr>
        <w:t>就以及</w:t>
      </w:r>
      <w:proofErr w:type="gramEnd"/>
      <w:r>
        <w:rPr>
          <w:rFonts w:asciiTheme="majorEastAsia" w:eastAsiaTheme="majorEastAsia" w:hAnsiTheme="majorEastAsia" w:cs="Segoe UI" w:hint="eastAsia"/>
          <w:color w:val="404040"/>
          <w:sz w:val="24"/>
        </w:rPr>
        <w:t>被报道了</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_Ref198392404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[7]</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，但是它长期被看作RNA剪接过程中产生的低丰富度的副产物</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_Ref198392640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[8</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_Ref198392642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9]</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，且被普遍认为其在生物学关键过程中缺乏关键性的贡献。因此，截至2010年，仅有少量新型circRNA被发现</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_Ref198392898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[10]</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。然而随着生物医学技术的革新和高通量RNA测序的发展，近年来的突破性研究彻底重塑了学界对于circRNA生物学价值的认知</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_Ref198393033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[11</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_Ref198393035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12]</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w:t>
      </w:r>
    </w:p>
    <w:p w14:paraId="163B272A"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研究证明，circRNA可以通过多重分子机制发挥调控作用：1)作为RNA结合蛋白(RBP)与miRNA分子海绵通过竞争性结合抑制靶向分子的生物学效应</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_Ref198471299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w:t>
      </w:r>
      <w:r>
        <w:rPr>
          <w:rFonts w:asciiTheme="majorEastAsia" w:eastAsiaTheme="majorEastAsia" w:hAnsiTheme="majorEastAsia" w:cs="Segoe UI"/>
          <w:color w:val="404040"/>
          <w:sz w:val="24"/>
          <w:vertAlign w:val="superscript"/>
        </w:rPr>
        <w:t>1</w:t>
      </w:r>
      <w:r>
        <w:rPr>
          <w:rFonts w:asciiTheme="majorEastAsia" w:eastAsiaTheme="majorEastAsia" w:hAnsiTheme="majorEastAsia" w:cs="Segoe UI"/>
          <w:color w:val="404040"/>
          <w:sz w:val="24"/>
          <w:vertAlign w:val="superscript"/>
        </w:rPr>
        <w:t>4</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_Ref198471300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t>15</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_Ref198471301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16]</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。2)通过调节亲本基因表达、</w:t>
      </w:r>
      <w:proofErr w:type="gramStart"/>
      <w:r>
        <w:rPr>
          <w:rFonts w:asciiTheme="majorEastAsia" w:eastAsiaTheme="majorEastAsia" w:hAnsiTheme="majorEastAsia" w:cs="Segoe UI" w:hint="eastAsia"/>
          <w:color w:val="404040"/>
          <w:sz w:val="24"/>
        </w:rPr>
        <w:t>介</w:t>
      </w:r>
      <w:proofErr w:type="gramEnd"/>
      <w:r>
        <w:rPr>
          <w:rFonts w:asciiTheme="majorEastAsia" w:eastAsiaTheme="majorEastAsia" w:hAnsiTheme="majorEastAsia" w:cs="Segoe UI" w:hint="eastAsia"/>
          <w:color w:val="404040"/>
          <w:sz w:val="24"/>
        </w:rPr>
        <w:t>导可变剪接及转录调控参与基因表达网络的重编程。部分circRNA甚至具备翻译潜能，可以生成功能性多肽或蛋白质</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_Ref198471299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[14</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_Ref198471300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t>15</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vertAlign w:val="superscript"/>
        </w:rPr>
        <w:t>,</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REF _Ref198471301 \r \h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16]</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，值得注意的是，circRNA的异常表达与多种病理过程密切相关，包括肿瘤发生(如结直肠癌特异性表达谱</w:t>
      </w:r>
      <w:r>
        <w:rPr>
          <w:rFonts w:asciiTheme="majorEastAsia" w:eastAsiaTheme="majorEastAsia" w:hAnsiTheme="majorEastAsia" w:cs="Segoe UI"/>
          <w:color w:val="404040"/>
          <w:sz w:val="24"/>
          <w:vertAlign w:val="superscript"/>
        </w:rPr>
        <w:fldChar w:fldCharType="begin"/>
      </w:r>
      <w:r>
        <w:rPr>
          <w:rFonts w:asciiTheme="majorEastAsia" w:eastAsiaTheme="majorEastAsia" w:hAnsiTheme="majorEastAsia" w:cs="Segoe UI"/>
          <w:color w:val="404040"/>
          <w:sz w:val="24"/>
          <w:vertAlign w:val="superscript"/>
        </w:rPr>
        <w:instrText xml:space="preserve"> </w:instrText>
      </w:r>
      <w:r>
        <w:rPr>
          <w:rFonts w:asciiTheme="majorEastAsia" w:eastAsiaTheme="majorEastAsia" w:hAnsiTheme="majorEastAsia" w:cs="Segoe UI" w:hint="eastAsia"/>
          <w:color w:val="404040"/>
          <w:sz w:val="24"/>
          <w:vertAlign w:val="superscript"/>
        </w:rPr>
        <w:instrText>REF _Ref198471492 \r \h</w:instrText>
      </w:r>
      <w:r>
        <w:rPr>
          <w:rFonts w:asciiTheme="majorEastAsia" w:eastAsiaTheme="majorEastAsia" w:hAnsiTheme="majorEastAsia" w:cs="Segoe UI"/>
          <w:color w:val="404040"/>
          <w:sz w:val="24"/>
          <w:vertAlign w:val="superscript"/>
        </w:rPr>
        <w:instrText xml:space="preserve">  \* MERGEFORMAT </w:instrText>
      </w:r>
      <w:r>
        <w:rPr>
          <w:rFonts w:asciiTheme="majorEastAsia" w:eastAsiaTheme="majorEastAsia" w:hAnsiTheme="majorEastAsia" w:cs="Segoe UI"/>
          <w:color w:val="404040"/>
          <w:sz w:val="24"/>
          <w:vertAlign w:val="superscript"/>
        </w:rPr>
      </w:r>
      <w:r>
        <w:rPr>
          <w:rFonts w:asciiTheme="majorEastAsia" w:eastAsiaTheme="majorEastAsia" w:hAnsiTheme="majorEastAsia" w:cs="Segoe UI"/>
          <w:color w:val="404040"/>
          <w:sz w:val="24"/>
          <w:vertAlign w:val="superscript"/>
        </w:rPr>
        <w:fldChar w:fldCharType="separate"/>
      </w:r>
      <w:r>
        <w:rPr>
          <w:rFonts w:asciiTheme="majorEastAsia" w:eastAsiaTheme="majorEastAsia" w:hAnsiTheme="majorEastAsia" w:cs="Segoe UI"/>
          <w:color w:val="404040"/>
          <w:sz w:val="24"/>
          <w:vertAlign w:val="superscript"/>
        </w:rPr>
        <w:t>[17]</w:t>
      </w:r>
      <w:r>
        <w:rPr>
          <w:rFonts w:asciiTheme="majorEastAsia" w:eastAsiaTheme="majorEastAsia" w:hAnsiTheme="majorEastAsia" w:cs="Segoe UI"/>
          <w:color w:val="404040"/>
          <w:sz w:val="24"/>
          <w:vertAlign w:val="superscript"/>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动脉粥样硬化性血管病变及神经系统疾病</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_Ref198471527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，其作为胃癌诊断标志物</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_Ref198471563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w:t>
      </w:r>
      <w:r>
        <w:rPr>
          <w:rFonts w:asciiTheme="majorEastAsia" w:eastAsiaTheme="majorEastAsia" w:hAnsiTheme="majorEastAsia" w:cs="Segoe UI"/>
          <w:color w:val="404040"/>
          <w:sz w:val="24"/>
        </w:rPr>
        <w:t>9</w:t>
      </w:r>
      <w:r>
        <w:rPr>
          <w:rFonts w:asciiTheme="majorEastAsia" w:eastAsiaTheme="majorEastAsia" w:hAnsiTheme="majorEastAsia" w:cs="Segoe UI"/>
          <w:color w:val="404040"/>
          <w:sz w:val="24"/>
        </w:rPr>
        <w:t>]</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、衰老相关分子标记及唾液疾病检测靶点的潜力也逐步显现</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_Ref198471563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。这些发现凸显circRNA在发育生物学、疾病起始与演进中的独特调控地位，并为其转化为临床诊断工具与治疗靶点提供了理论依据</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_Ref198471299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[1</w:t>
      </w:r>
      <w:r>
        <w:rPr>
          <w:rFonts w:asciiTheme="majorEastAsia" w:eastAsiaTheme="majorEastAsia" w:hAnsiTheme="majorEastAsia" w:cs="Segoe UI"/>
          <w:color w:val="404040"/>
          <w:sz w:val="24"/>
        </w:rPr>
        <w:t>4</w:t>
      </w:r>
      <w:r>
        <w:rPr>
          <w:rFonts w:asciiTheme="majorEastAsia" w:eastAsiaTheme="majorEastAsia" w:hAnsiTheme="majorEastAsia" w:cs="Segoe UI"/>
          <w:color w:val="404040"/>
          <w:sz w:val="24"/>
        </w:rPr>
        <w:t>]</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w:t>
      </w:r>
    </w:p>
    <w:p w14:paraId="765A3C17" w14:textId="1D24606D" w:rsidR="00B40C2D" w:rsidRDefault="004F04CB" w:rsidP="005960ED">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由于circRNA亚细胞定位预测方法十分少，传统的蛋白质定位和miRNA定位预测的方法</w:t>
      </w:r>
      <w:r w:rsidR="00A80852">
        <w:rPr>
          <w:rFonts w:asciiTheme="majorEastAsia" w:eastAsiaTheme="majorEastAsia" w:hAnsiTheme="majorEastAsia" w:cs="Segoe UI" w:hint="eastAsia"/>
          <w:color w:val="404040"/>
          <w:sz w:val="24"/>
        </w:rPr>
        <w:t>可以为我们提供思路，现在对于蛋白质预测有四类方法：基于序列特征的传统机器学习方法、基于进化信息的预测方法、基于深度学习的端到</w:t>
      </w:r>
      <w:proofErr w:type="gramStart"/>
      <w:r w:rsidR="00A80852">
        <w:rPr>
          <w:rFonts w:asciiTheme="majorEastAsia" w:eastAsiaTheme="majorEastAsia" w:hAnsiTheme="majorEastAsia" w:cs="Segoe UI" w:hint="eastAsia"/>
          <w:color w:val="404040"/>
          <w:sz w:val="24"/>
        </w:rPr>
        <w:t>端预测</w:t>
      </w:r>
      <w:proofErr w:type="gramEnd"/>
      <w:r w:rsidR="00A80852">
        <w:rPr>
          <w:rFonts w:asciiTheme="majorEastAsia" w:eastAsiaTheme="majorEastAsia" w:hAnsiTheme="majorEastAsia" w:cs="Segoe UI" w:hint="eastAsia"/>
          <w:color w:val="404040"/>
          <w:sz w:val="24"/>
        </w:rPr>
        <w:t>方法和多标签定位预测。例如Li等人使用GNN</w:t>
      </w:r>
      <w:r w:rsidR="00A80852" w:rsidRPr="00A80852">
        <w:rPr>
          <w:rFonts w:asciiTheme="majorEastAsia" w:eastAsiaTheme="majorEastAsia" w:hAnsiTheme="majorEastAsia" w:cs="Segoe UI"/>
          <w:color w:val="404040"/>
          <w:sz w:val="24"/>
        </w:rPr>
        <w:t>预测细菌效应蛋白定位</w:t>
      </w:r>
      <w:r w:rsidR="00A80852">
        <w:rPr>
          <w:rFonts w:asciiTheme="majorEastAsia" w:eastAsiaTheme="majorEastAsia" w:hAnsiTheme="majorEastAsia" w:cs="Segoe UI" w:hint="eastAsia"/>
          <w:color w:val="404040"/>
          <w:sz w:val="24"/>
        </w:rPr>
        <w:fldChar w:fldCharType="begin"/>
      </w:r>
      <w:r w:rsidR="00A80852">
        <w:rPr>
          <w:rFonts w:asciiTheme="majorEastAsia" w:eastAsiaTheme="majorEastAsia" w:hAnsiTheme="majorEastAsia" w:cs="Segoe UI" w:hint="eastAsia"/>
          <w:color w:val="404040"/>
          <w:sz w:val="24"/>
        </w:rPr>
        <w:instrText xml:space="preserve"> </w:instrText>
      </w:r>
      <w:r w:rsidR="00A80852">
        <w:rPr>
          <w:rFonts w:asciiTheme="majorEastAsia" w:eastAsiaTheme="majorEastAsia" w:hAnsiTheme="majorEastAsia" w:cs="Segoe UI"/>
          <w:color w:val="404040"/>
          <w:sz w:val="24"/>
        </w:rPr>
        <w:instrText>REF _Ref201492758 \r \h</w:instrText>
      </w:r>
      <w:r w:rsidR="00A80852">
        <w:rPr>
          <w:rFonts w:asciiTheme="majorEastAsia" w:eastAsiaTheme="majorEastAsia" w:hAnsiTheme="majorEastAsia" w:cs="Segoe UI" w:hint="eastAsia"/>
          <w:color w:val="404040"/>
          <w:sz w:val="24"/>
        </w:rPr>
        <w:instrText xml:space="preserve"> </w:instrText>
      </w:r>
      <w:r w:rsidR="00A80852">
        <w:rPr>
          <w:rFonts w:asciiTheme="majorEastAsia" w:eastAsiaTheme="majorEastAsia" w:hAnsiTheme="majorEastAsia" w:cs="Segoe UI" w:hint="eastAsia"/>
          <w:color w:val="404040"/>
          <w:sz w:val="24"/>
        </w:rPr>
      </w:r>
      <w:r w:rsidR="00A80852">
        <w:rPr>
          <w:rFonts w:asciiTheme="majorEastAsia" w:eastAsiaTheme="majorEastAsia" w:hAnsiTheme="majorEastAsia" w:cs="Segoe UI" w:hint="eastAsia"/>
          <w:color w:val="404040"/>
          <w:sz w:val="24"/>
        </w:rPr>
        <w:fldChar w:fldCharType="separate"/>
      </w:r>
      <w:r w:rsidR="00A80852">
        <w:rPr>
          <w:rFonts w:asciiTheme="majorEastAsia" w:eastAsiaTheme="majorEastAsia" w:hAnsiTheme="majorEastAsia" w:cs="Segoe UI" w:hint="eastAsia"/>
          <w:color w:val="404040"/>
          <w:sz w:val="24"/>
        </w:rPr>
        <w:t>[20]</w:t>
      </w:r>
      <w:r w:rsidR="00A80852">
        <w:rPr>
          <w:rFonts w:asciiTheme="majorEastAsia" w:eastAsiaTheme="majorEastAsia" w:hAnsiTheme="majorEastAsia" w:cs="Segoe UI" w:hint="eastAsia"/>
          <w:color w:val="404040"/>
          <w:sz w:val="24"/>
        </w:rPr>
        <w:fldChar w:fldCharType="end"/>
      </w:r>
      <w:r w:rsidR="005960ED">
        <w:rPr>
          <w:rFonts w:asciiTheme="majorEastAsia" w:eastAsiaTheme="majorEastAsia" w:hAnsiTheme="majorEastAsia" w:cs="Segoe UI" w:hint="eastAsia"/>
          <w:color w:val="404040"/>
          <w:sz w:val="24"/>
        </w:rPr>
        <w:t>。而miRNA亚细胞定位预测分为三类：</w:t>
      </w:r>
      <w:r w:rsidR="005960ED" w:rsidRPr="005960ED">
        <w:rPr>
          <w:rFonts w:asciiTheme="majorEastAsia" w:eastAsiaTheme="majorEastAsia" w:hAnsiTheme="majorEastAsia" w:cs="Segoe UI"/>
          <w:color w:val="404040"/>
          <w:sz w:val="24"/>
        </w:rPr>
        <w:t>基于序列特征的传统机器学习方法</w:t>
      </w:r>
      <w:r w:rsidR="005960ED" w:rsidRPr="005960ED">
        <w:rPr>
          <w:rFonts w:asciiTheme="majorEastAsia" w:eastAsiaTheme="majorEastAsia" w:hAnsiTheme="majorEastAsia" w:cs="Segoe UI" w:hint="eastAsia"/>
          <w:color w:val="404040"/>
          <w:sz w:val="24"/>
        </w:rPr>
        <w:t>，</w:t>
      </w:r>
      <w:r w:rsidR="005960ED" w:rsidRPr="005960ED">
        <w:rPr>
          <w:rFonts w:asciiTheme="majorEastAsia" w:eastAsiaTheme="majorEastAsia" w:hAnsiTheme="majorEastAsia" w:cs="Segoe UI"/>
          <w:color w:val="404040"/>
          <w:sz w:val="24"/>
        </w:rPr>
        <w:t>基于深度学习的序列建模方法</w:t>
      </w:r>
      <w:r w:rsidR="005960ED" w:rsidRPr="005960ED">
        <w:rPr>
          <w:rFonts w:asciiTheme="majorEastAsia" w:eastAsiaTheme="majorEastAsia" w:hAnsiTheme="majorEastAsia" w:cs="Segoe UI" w:hint="eastAsia"/>
          <w:color w:val="404040"/>
          <w:sz w:val="24"/>
        </w:rPr>
        <w:t>和</w:t>
      </w:r>
      <w:r w:rsidR="005960ED" w:rsidRPr="005960ED">
        <w:rPr>
          <w:rFonts w:asciiTheme="majorEastAsia" w:eastAsiaTheme="majorEastAsia" w:hAnsiTheme="majorEastAsia" w:cs="Segoe UI"/>
          <w:color w:val="404040"/>
          <w:sz w:val="24"/>
        </w:rPr>
        <w:t>基于网络和多</w:t>
      </w:r>
      <w:proofErr w:type="gramStart"/>
      <w:r w:rsidR="005960ED" w:rsidRPr="005960ED">
        <w:rPr>
          <w:rFonts w:asciiTheme="majorEastAsia" w:eastAsiaTheme="majorEastAsia" w:hAnsiTheme="majorEastAsia" w:cs="Segoe UI"/>
          <w:color w:val="404040"/>
          <w:sz w:val="24"/>
        </w:rPr>
        <w:t>源数据</w:t>
      </w:r>
      <w:proofErr w:type="gramEnd"/>
      <w:r w:rsidR="005960ED" w:rsidRPr="005960ED">
        <w:rPr>
          <w:rFonts w:asciiTheme="majorEastAsia" w:eastAsiaTheme="majorEastAsia" w:hAnsiTheme="majorEastAsia" w:cs="Segoe UI"/>
          <w:color w:val="404040"/>
          <w:sz w:val="24"/>
        </w:rPr>
        <w:t>融合的方法</w:t>
      </w:r>
      <w:r w:rsidR="005960ED">
        <w:rPr>
          <w:rFonts w:asciiTheme="majorEastAsia" w:eastAsiaTheme="majorEastAsia" w:hAnsiTheme="majorEastAsia" w:cs="Segoe UI" w:hint="eastAsia"/>
          <w:color w:val="404040"/>
          <w:sz w:val="24"/>
        </w:rPr>
        <w:t>，</w:t>
      </w:r>
      <w:r w:rsidR="005960ED" w:rsidRPr="005960ED">
        <w:rPr>
          <w:rFonts w:asciiTheme="majorEastAsia" w:eastAsiaTheme="majorEastAsia" w:hAnsiTheme="majorEastAsia" w:cs="Segoe UI"/>
          <w:color w:val="404040"/>
          <w:sz w:val="24"/>
        </w:rPr>
        <w:t>Xu</w:t>
      </w:r>
      <w:r w:rsidR="005960ED">
        <w:rPr>
          <w:rFonts w:asciiTheme="majorEastAsia" w:eastAsiaTheme="majorEastAsia" w:hAnsiTheme="majorEastAsia" w:cs="Segoe UI" w:hint="eastAsia"/>
          <w:color w:val="404040"/>
          <w:sz w:val="24"/>
        </w:rPr>
        <w:t>等人使用基于mRNA定位推断miRNA定位</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REF _Ref201493237 \r \h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[21]</w:t>
      </w:r>
      <w:r w:rsidR="005960ED">
        <w:rPr>
          <w:rFonts w:asciiTheme="majorEastAsia" w:eastAsiaTheme="majorEastAsia" w:hAnsiTheme="majorEastAsia" w:cs="Segoe UI" w:hint="eastAsia"/>
          <w:color w:val="404040"/>
          <w:sz w:val="24"/>
        </w:rPr>
        <w:fldChar w:fldCharType="end"/>
      </w:r>
      <w:r w:rsidR="005960ED">
        <w:rPr>
          <w:rFonts w:asciiTheme="majorEastAsia" w:eastAsiaTheme="majorEastAsia" w:hAnsiTheme="majorEastAsia" w:cs="Segoe UI" w:hint="eastAsia"/>
          <w:color w:val="404040"/>
          <w:sz w:val="24"/>
        </w:rPr>
        <w:t>，</w:t>
      </w:r>
      <w:r w:rsidR="005960ED" w:rsidRPr="005960ED">
        <w:rPr>
          <w:rFonts w:asciiTheme="majorEastAsia" w:eastAsiaTheme="majorEastAsia" w:hAnsiTheme="majorEastAsia" w:cs="Segoe UI"/>
          <w:color w:val="404040"/>
          <w:sz w:val="24"/>
        </w:rPr>
        <w:t>Bai</w:t>
      </w:r>
      <w:r w:rsidR="005960ED">
        <w:rPr>
          <w:rFonts w:asciiTheme="majorEastAsia" w:eastAsiaTheme="majorEastAsia" w:hAnsiTheme="majorEastAsia" w:cs="Segoe UI" w:hint="eastAsia"/>
          <w:color w:val="404040"/>
          <w:sz w:val="24"/>
        </w:rPr>
        <w:t>等人</w:t>
      </w:r>
      <w:r w:rsidR="005960ED" w:rsidRPr="005960ED">
        <w:rPr>
          <w:rFonts w:asciiTheme="majorEastAsia" w:eastAsiaTheme="majorEastAsia" w:hAnsiTheme="majorEastAsia" w:cs="Segoe UI"/>
          <w:color w:val="404040"/>
          <w:sz w:val="24"/>
        </w:rPr>
        <w:t>结合序列和miRNA-疾病关联数据</w:t>
      </w:r>
      <w:r w:rsidR="005960ED">
        <w:rPr>
          <w:rFonts w:asciiTheme="majorEastAsia" w:eastAsiaTheme="majorEastAsia" w:hAnsiTheme="majorEastAsia" w:cs="Segoe UI" w:hint="eastAsia"/>
          <w:color w:val="404040"/>
          <w:sz w:val="24"/>
        </w:rPr>
        <w:t>预测miRNA定位</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REF _Ref201493243 \r \h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[22]</w:t>
      </w:r>
      <w:r w:rsidR="005960ED">
        <w:rPr>
          <w:rFonts w:asciiTheme="majorEastAsia" w:eastAsiaTheme="majorEastAsia" w:hAnsiTheme="majorEastAsia" w:cs="Segoe UI" w:hint="eastAsia"/>
          <w:color w:val="404040"/>
          <w:sz w:val="24"/>
        </w:rPr>
        <w:fldChar w:fldCharType="end"/>
      </w:r>
      <w:r w:rsidR="005960ED">
        <w:rPr>
          <w:rFonts w:asciiTheme="majorEastAsia" w:eastAsiaTheme="majorEastAsia" w:hAnsiTheme="majorEastAsia" w:cs="Segoe UI" w:hint="eastAsia"/>
          <w:color w:val="404040"/>
          <w:sz w:val="24"/>
        </w:rPr>
        <w:t>。</w:t>
      </w:r>
    </w:p>
    <w:p w14:paraId="1DBCC3E8" w14:textId="7A89435D" w:rsidR="005960ED" w:rsidRDefault="007F62B7" w:rsidP="005960ED">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上述方面在各自的领域表现良好，鉴于circRNA与miRNA、疾病、药物的高度关联性，以及其自身</w:t>
      </w:r>
      <w:proofErr w:type="gramStart"/>
      <w:r>
        <w:rPr>
          <w:rFonts w:asciiTheme="majorEastAsia" w:eastAsiaTheme="majorEastAsia" w:hAnsiTheme="majorEastAsia" w:cs="Segoe UI" w:hint="eastAsia"/>
          <w:color w:val="404040"/>
          <w:sz w:val="24"/>
        </w:rPr>
        <w:t>学列所</w:t>
      </w:r>
      <w:proofErr w:type="gramEnd"/>
      <w:r>
        <w:rPr>
          <w:rFonts w:asciiTheme="majorEastAsia" w:eastAsiaTheme="majorEastAsia" w:hAnsiTheme="majorEastAsia" w:cs="Segoe UI" w:hint="eastAsia"/>
          <w:color w:val="404040"/>
          <w:sz w:val="24"/>
        </w:rPr>
        <w:t>携带的信息，我们</w:t>
      </w:r>
      <w:r w:rsidRPr="007F62B7">
        <w:rPr>
          <w:rFonts w:asciiTheme="majorEastAsia" w:eastAsiaTheme="majorEastAsia" w:hAnsiTheme="majorEastAsia" w:cs="Segoe UI"/>
          <w:color w:val="404040"/>
          <w:sz w:val="24"/>
        </w:rPr>
        <w:t>整合这些信息将有助于构建更强大的预测模型。本研究开发了新型多标签分类器</w:t>
      </w:r>
      <w:r>
        <w:rPr>
          <w:rFonts w:asciiTheme="majorEastAsia" w:eastAsiaTheme="majorEastAsia" w:hAnsiTheme="majorEastAsia" w:cs="Segoe UI" w:hint="eastAsia"/>
          <w:color w:val="404040"/>
          <w:sz w:val="24"/>
        </w:rPr>
        <w:t>CircLoc</w:t>
      </w:r>
      <w:r w:rsidRPr="007F62B7">
        <w:rPr>
          <w:rFonts w:asciiTheme="majorEastAsia" w:eastAsiaTheme="majorEastAsia" w:hAnsiTheme="majorEastAsia" w:cs="Segoe UI"/>
          <w:color w:val="404040"/>
          <w:sz w:val="24"/>
        </w:rPr>
        <w:t>（基于多</w:t>
      </w:r>
      <w:proofErr w:type="gramStart"/>
      <w:r w:rsidRPr="007F62B7">
        <w:rPr>
          <w:rFonts w:asciiTheme="majorEastAsia" w:eastAsiaTheme="majorEastAsia" w:hAnsiTheme="majorEastAsia" w:cs="Segoe UI"/>
          <w:color w:val="404040"/>
          <w:sz w:val="24"/>
        </w:rPr>
        <w:t>源特征</w:t>
      </w:r>
      <w:proofErr w:type="gramEnd"/>
      <w:r w:rsidRPr="007F62B7">
        <w:rPr>
          <w:rFonts w:asciiTheme="majorEastAsia" w:eastAsiaTheme="majorEastAsia" w:hAnsiTheme="majorEastAsia" w:cs="Segoe UI"/>
          <w:color w:val="404040"/>
          <w:sz w:val="24"/>
        </w:rPr>
        <w:t>的</w:t>
      </w:r>
      <w:r>
        <w:rPr>
          <w:rFonts w:asciiTheme="majorEastAsia" w:eastAsiaTheme="majorEastAsia" w:hAnsiTheme="majorEastAsia" w:cs="Segoe UI" w:hint="eastAsia"/>
          <w:color w:val="404040"/>
          <w:sz w:val="24"/>
        </w:rPr>
        <w:t>c</w:t>
      </w:r>
      <w:r w:rsidRPr="007F62B7">
        <w:rPr>
          <w:rFonts w:asciiTheme="majorEastAsia" w:eastAsiaTheme="majorEastAsia" w:hAnsiTheme="majorEastAsia" w:cs="Segoe UI"/>
          <w:color w:val="404040"/>
          <w:sz w:val="24"/>
        </w:rPr>
        <w:t>i</w:t>
      </w:r>
      <w:r>
        <w:rPr>
          <w:rFonts w:asciiTheme="majorEastAsia" w:eastAsiaTheme="majorEastAsia" w:hAnsiTheme="majorEastAsia" w:cs="Segoe UI" w:hint="eastAsia"/>
          <w:color w:val="404040"/>
          <w:sz w:val="24"/>
        </w:rPr>
        <w:t>rc</w:t>
      </w:r>
      <w:r w:rsidRPr="007F62B7">
        <w:rPr>
          <w:rFonts w:asciiTheme="majorEastAsia" w:eastAsiaTheme="majorEastAsia" w:hAnsiTheme="majorEastAsia" w:cs="Segoe UI"/>
          <w:color w:val="404040"/>
          <w:sz w:val="24"/>
        </w:rPr>
        <w:t>RNA亚细胞定位预测器），融合</w:t>
      </w:r>
      <w:r>
        <w:rPr>
          <w:rFonts w:asciiTheme="majorEastAsia" w:eastAsiaTheme="majorEastAsia" w:hAnsiTheme="majorEastAsia" w:cs="Segoe UI" w:hint="eastAsia"/>
          <w:color w:val="404040"/>
          <w:sz w:val="24"/>
        </w:rPr>
        <w:t>circ</w:t>
      </w:r>
      <w:r w:rsidRPr="007F62B7">
        <w:rPr>
          <w:rFonts w:asciiTheme="majorEastAsia" w:eastAsiaTheme="majorEastAsia" w:hAnsiTheme="majorEastAsia" w:cs="Segoe UI"/>
          <w:color w:val="404040"/>
          <w:sz w:val="24"/>
        </w:rPr>
        <w:t>RNA序列</w:t>
      </w:r>
      <w:r>
        <w:rPr>
          <w:rFonts w:asciiTheme="majorEastAsia" w:eastAsiaTheme="majorEastAsia" w:hAnsiTheme="majorEastAsia" w:cs="Segoe UI" w:hint="eastAsia"/>
          <w:color w:val="404040"/>
          <w:sz w:val="24"/>
        </w:rPr>
        <w:t>、</w:t>
      </w:r>
      <w:r w:rsidRPr="007F62B7">
        <w:rPr>
          <w:rFonts w:asciiTheme="majorEastAsia" w:eastAsiaTheme="majorEastAsia" w:hAnsiTheme="majorEastAsia" w:cs="Segoe UI"/>
          <w:color w:val="404040"/>
          <w:sz w:val="24"/>
        </w:rPr>
        <w:t>相似性、疾病关联、药物关联及m</w:t>
      </w:r>
      <w:r>
        <w:rPr>
          <w:rFonts w:asciiTheme="majorEastAsia" w:eastAsiaTheme="majorEastAsia" w:hAnsiTheme="majorEastAsia" w:cs="Segoe UI" w:hint="eastAsia"/>
          <w:color w:val="404040"/>
          <w:sz w:val="24"/>
        </w:rPr>
        <w:t>i</w:t>
      </w:r>
      <w:r w:rsidRPr="007F62B7">
        <w:rPr>
          <w:rFonts w:asciiTheme="majorEastAsia" w:eastAsiaTheme="majorEastAsia" w:hAnsiTheme="majorEastAsia" w:cs="Segoe UI"/>
          <w:color w:val="404040"/>
          <w:sz w:val="24"/>
        </w:rPr>
        <w:t>RNA关联（含m</w:t>
      </w:r>
      <w:r>
        <w:rPr>
          <w:rFonts w:asciiTheme="majorEastAsia" w:eastAsiaTheme="majorEastAsia" w:hAnsiTheme="majorEastAsia" w:cs="Segoe UI" w:hint="eastAsia"/>
          <w:color w:val="404040"/>
          <w:sz w:val="24"/>
        </w:rPr>
        <w:t>i</w:t>
      </w:r>
      <w:r w:rsidRPr="007F62B7">
        <w:rPr>
          <w:rFonts w:asciiTheme="majorEastAsia" w:eastAsiaTheme="majorEastAsia" w:hAnsiTheme="majorEastAsia" w:cs="Segoe UI"/>
          <w:color w:val="404040"/>
          <w:sz w:val="24"/>
        </w:rPr>
        <w:t>RNA亚细胞定位）等多维特性。通过node2vec、图注意力自编码器（GATE）等先进算法及新设计特征处理方案，生成</w:t>
      </w:r>
      <w:r>
        <w:rPr>
          <w:rFonts w:asciiTheme="majorEastAsia" w:eastAsiaTheme="majorEastAsia" w:hAnsiTheme="majorEastAsia" w:cs="Segoe UI" w:hint="eastAsia"/>
          <w:color w:val="404040"/>
          <w:sz w:val="24"/>
        </w:rPr>
        <w:t>8</w:t>
      </w:r>
      <w:r w:rsidRPr="007F62B7">
        <w:rPr>
          <w:rFonts w:asciiTheme="majorEastAsia" w:eastAsiaTheme="majorEastAsia" w:hAnsiTheme="majorEastAsia" w:cs="Segoe UI"/>
          <w:color w:val="404040"/>
          <w:sz w:val="24"/>
        </w:rPr>
        <w:t>类信息丰富的</w:t>
      </w:r>
      <w:r>
        <w:rPr>
          <w:rFonts w:asciiTheme="majorEastAsia" w:eastAsiaTheme="majorEastAsia" w:hAnsiTheme="majorEastAsia" w:cs="Segoe UI" w:hint="eastAsia"/>
          <w:color w:val="404040"/>
          <w:sz w:val="24"/>
        </w:rPr>
        <w:t>c</w:t>
      </w:r>
      <w:r w:rsidRPr="007F62B7">
        <w:rPr>
          <w:rFonts w:asciiTheme="majorEastAsia" w:eastAsiaTheme="majorEastAsia" w:hAnsiTheme="majorEastAsia" w:cs="Segoe UI"/>
          <w:color w:val="404040"/>
          <w:sz w:val="24"/>
        </w:rPr>
        <w:t>i</w:t>
      </w:r>
      <w:r>
        <w:rPr>
          <w:rFonts w:asciiTheme="majorEastAsia" w:eastAsiaTheme="majorEastAsia" w:hAnsiTheme="majorEastAsia" w:cs="Segoe UI" w:hint="eastAsia"/>
          <w:color w:val="404040"/>
          <w:sz w:val="24"/>
        </w:rPr>
        <w:t>rc</w:t>
      </w:r>
      <w:r w:rsidRPr="007F62B7">
        <w:rPr>
          <w:rFonts w:asciiTheme="majorEastAsia" w:eastAsiaTheme="majorEastAsia" w:hAnsiTheme="majorEastAsia" w:cs="Segoe UI"/>
          <w:color w:val="404040"/>
          <w:sz w:val="24"/>
        </w:rPr>
        <w:t>RNA特征，最终经自注意力层和全连接层进行预测。交叉验证显示，</w:t>
      </w:r>
      <w:r>
        <w:rPr>
          <w:rFonts w:asciiTheme="majorEastAsia" w:eastAsiaTheme="majorEastAsia" w:hAnsiTheme="majorEastAsia" w:cs="Segoe UI" w:hint="eastAsia"/>
          <w:color w:val="404040"/>
          <w:sz w:val="24"/>
        </w:rPr>
        <w:t>CircLoc</w:t>
      </w:r>
      <w:r w:rsidRPr="007F62B7">
        <w:rPr>
          <w:rFonts w:asciiTheme="majorEastAsia" w:eastAsiaTheme="majorEastAsia" w:hAnsiTheme="majorEastAsia" w:cs="Segoe UI"/>
          <w:color w:val="404040"/>
          <w:sz w:val="24"/>
        </w:rPr>
        <w:t>在七个亚细胞定位上的准确率超0.8，</w:t>
      </w:r>
      <w:r>
        <w:rPr>
          <w:rFonts w:asciiTheme="majorEastAsia" w:eastAsiaTheme="majorEastAsia" w:hAnsiTheme="majorEastAsia" w:cs="Segoe UI" w:hint="eastAsia"/>
          <w:color w:val="404040"/>
          <w:sz w:val="24"/>
        </w:rPr>
        <w:t>AU-ROC超过0.77，AUPR超过0.42。</w:t>
      </w:r>
      <w:r w:rsidRPr="007F62B7">
        <w:rPr>
          <w:rFonts w:asciiTheme="majorEastAsia" w:eastAsiaTheme="majorEastAsia" w:hAnsiTheme="majorEastAsia" w:cs="Segoe UI"/>
          <w:color w:val="404040"/>
          <w:sz w:val="24"/>
        </w:rPr>
        <w:t>进一步实验证实所有特征类型均对预测有积极贡献，GATE和自注意力层能有效提升性能。</w:t>
      </w:r>
    </w:p>
    <w:p w14:paraId="2C1674C6" w14:textId="77777777" w:rsidR="00B40C2D" w:rsidRDefault="00000000">
      <w:pPr>
        <w:pStyle w:val="1"/>
        <w:rPr>
          <w:rFonts w:asciiTheme="majorEastAsia" w:eastAsiaTheme="majorEastAsia" w:hAnsiTheme="majorEastAsia" w:hint="eastAsia"/>
        </w:rPr>
      </w:pPr>
      <w:r>
        <w:rPr>
          <w:rFonts w:asciiTheme="majorEastAsia" w:eastAsiaTheme="majorEastAsia" w:hAnsiTheme="majorEastAsia"/>
        </w:rPr>
        <w:lastRenderedPageBreak/>
        <w:t>Materials and methods</w:t>
      </w:r>
    </w:p>
    <w:p w14:paraId="748A8DE4" w14:textId="77777777" w:rsidR="00B40C2D" w:rsidRDefault="00000000">
      <w:pPr>
        <w:pStyle w:val="2"/>
        <w:rPr>
          <w:rFonts w:asciiTheme="majorEastAsia" w:hAnsiTheme="majorEastAsia" w:hint="eastAsia"/>
          <w:sz w:val="28"/>
          <w:szCs w:val="28"/>
        </w:rPr>
      </w:pPr>
      <w:r>
        <w:rPr>
          <w:rFonts w:asciiTheme="majorEastAsia" w:hAnsiTheme="majorEastAsia" w:hint="eastAsia"/>
          <w:sz w:val="28"/>
          <w:szCs w:val="28"/>
        </w:rPr>
        <w:t>dataset</w:t>
      </w:r>
    </w:p>
    <w:p w14:paraId="02726C5A"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定义明确的数据集对于构建高效的分类器非常重要，在这项研究中，我们使用人类circRNA亚细胞定位数据集，该数据集是从</w:t>
      </w:r>
      <w:r>
        <w:rPr>
          <w:rFonts w:asciiTheme="majorEastAsia" w:eastAsiaTheme="majorEastAsia" w:hAnsiTheme="majorEastAsia" w:cs="Segoe UI"/>
          <w:b/>
          <w:bCs/>
          <w:color w:val="404040"/>
          <w:sz w:val="24"/>
        </w:rPr>
        <w:t> </w:t>
      </w:r>
      <w:r>
        <w:rPr>
          <w:rFonts w:asciiTheme="majorEastAsia" w:eastAsiaTheme="majorEastAsia" w:hAnsiTheme="majorEastAsia" w:cs="Segoe UI"/>
          <w:color w:val="404040"/>
          <w:sz w:val="24"/>
        </w:rPr>
        <w:t>RNALocate v3.0</w:t>
      </w:r>
      <w:r>
        <w:rPr>
          <w:rFonts w:asciiTheme="majorEastAsia" w:eastAsiaTheme="majorEastAsia" w:hAnsiTheme="majorEastAsia" w:cs="Segoe UI" w:hint="eastAsia"/>
          <w:color w:val="404040"/>
          <w:sz w:val="24"/>
        </w:rPr>
        <w:t>和circBase中获得的，原始数据集中包含134185条人类circRNA定位信息，它们属于16个不同的亚细胞位置，其中包含7类亚细胞定位的数据</w:t>
      </w:r>
      <w:proofErr w:type="gramStart"/>
      <w:r>
        <w:rPr>
          <w:rFonts w:asciiTheme="majorEastAsia" w:eastAsiaTheme="majorEastAsia" w:hAnsiTheme="majorEastAsia" w:cs="Segoe UI" w:hint="eastAsia"/>
          <w:color w:val="404040"/>
          <w:sz w:val="24"/>
        </w:rPr>
        <w:t>量仅仅</w:t>
      </w:r>
      <w:proofErr w:type="gramEnd"/>
      <w:r>
        <w:rPr>
          <w:rFonts w:asciiTheme="majorEastAsia" w:eastAsiaTheme="majorEastAsia" w:hAnsiTheme="majorEastAsia" w:cs="Segoe UI" w:hint="eastAsia"/>
          <w:color w:val="404040"/>
          <w:sz w:val="24"/>
        </w:rPr>
        <w:t>15个样本，样本数量非常少，并且在预测circRNA的亚细胞位置时会混淆分类器，因此我们丢弃了这些序列，而剩余的9类亚细胞定位中的2类样本数量共131998，使得数据集极度不平衡，因此我们丢弃了这些序列，剩余的7类定位共有1486个样本数量，其亚细胞定位分别是：</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。其中定位</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的样本数量是622条，</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的样本数量是429条，</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的样本数量是416，</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的样本数量是164，</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的样本数量是63，</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的样本数量是47，</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的样本数量是46条。所以，在数学表达式中具有单一亚细胞定位的circRNA可以被定义为独立子集用</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w:r>
        <w:rPr>
          <w:rFonts w:asciiTheme="majorEastAsia" w:eastAsiaTheme="majorEastAsia" w:hAnsiTheme="majorEastAsia" w:cs="Segoe UI" w:hint="eastAsia"/>
          <w:color w:val="404040"/>
          <w:sz w:val="24"/>
        </w:rPr>
        <w:t>表示。可以用以下公式表示基准数据集：</w:t>
      </w:r>
    </w:p>
    <w:p w14:paraId="7AB36A5F" w14:textId="77777777" w:rsidR="00B40C2D" w:rsidRDefault="00000000">
      <w:pPr>
        <w:widowControl/>
        <w:ind w:firstLineChars="200" w:firstLine="480"/>
        <w:jc w:val="left"/>
        <w:rPr>
          <w:rFonts w:asciiTheme="majorEastAsia" w:eastAsiaTheme="majorEastAsia" w:hAnsiTheme="majorEastAsia" w:cs="Segoe UI" w:hint="eastAsia"/>
          <w:iCs/>
          <w:color w:val="404040"/>
          <w:sz w:val="24"/>
        </w:rPr>
      </w:pPr>
      <m:oMathPara>
        <m:oMath>
          <m:r>
            <m:rPr>
              <m:sty m:val="p"/>
            </m:rPr>
            <w:rPr>
              <w:rFonts w:ascii="Cambria Math" w:eastAsiaTheme="majorEastAsia" w:hAnsi="Cambria Math" w:cs="Segoe UI"/>
              <w:color w:val="404040"/>
              <w:sz w:val="24"/>
            </w:rPr>
            <m:t>S=</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Chromatin</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Nucleoplasm</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Cytosol</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Membrane</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Nucleolus</m:t>
              </m:r>
              <m:r>
                <w:rPr>
                  <w:rFonts w:ascii="Cambria Math" w:eastAsiaTheme="majorEastAsia" w:hAnsi="Cambria Math" w:cs="Segoe UI"/>
                  <w:color w:val="404040"/>
                  <w:sz w:val="24"/>
                </w:rPr>
                <m:t>)</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w:rPr>
                  <w:rFonts w:ascii="Cambria Math" w:eastAsiaTheme="majorEastAsia" w:hAnsi="Cambria Math" w:cs="Segoe UI"/>
                  <w:color w:val="404040"/>
                  <w:sz w:val="24"/>
                </w:rPr>
                <m:t>S</m:t>
              </m:r>
            </m:e>
            <m:sub>
              <m:r>
                <w:rPr>
                  <w:rFonts w:ascii="Cambria Math" w:eastAsiaTheme="majorEastAsia" w:hAnsi="Cambria Math" w:cs="Segoe UI"/>
                  <w:color w:val="404040"/>
                  <w:sz w:val="24"/>
                </w:rPr>
                <m:t>(</m:t>
              </m:r>
              <m:r>
                <m:rPr>
                  <m:sty m:val="p"/>
                </m:rPr>
                <w:rPr>
                  <w:rFonts w:ascii="Cambria Math" w:eastAsiaTheme="majorEastAsia" w:hAnsi="Cambria Math" w:cs="Segoe UI"/>
                  <w:color w:val="404040"/>
                  <w:sz w:val="24"/>
                </w:rPr>
                <m:t>Nucleus</m:t>
              </m:r>
              <m:r>
                <w:rPr>
                  <w:rFonts w:ascii="Cambria Math" w:eastAsiaTheme="majorEastAsia" w:hAnsi="Cambria Math" w:cs="Segoe UI"/>
                  <w:color w:val="404040"/>
                  <w:sz w:val="24"/>
                </w:rPr>
                <m:t>)</m:t>
              </m:r>
            </m:sub>
          </m:sSub>
        </m:oMath>
      </m:oMathPara>
    </w:p>
    <w:p w14:paraId="5004A8C3"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可以看出一些circRNA可以具有多个亚细胞定位，为了阐述这一情况，我们绘制了一张反转图</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_Ref199264954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。因此，当亚细胞定位被视为标记而 circRNA 被视为样本时，将 circRNA分类为亚细胞定位是一个多标签分类问题。</w:t>
      </w:r>
    </w:p>
    <w:p w14:paraId="5DCB211F" w14:textId="77777777" w:rsidR="00B40C2D" w:rsidRDefault="00000000">
      <w:pPr>
        <w:keepNext/>
        <w:widowControl/>
        <w:jc w:val="left"/>
        <w:rPr>
          <w:rFonts w:asciiTheme="majorEastAsia" w:eastAsiaTheme="majorEastAsia" w:hAnsiTheme="majorEastAsia" w:hint="eastAsia"/>
        </w:rPr>
      </w:pPr>
      <w:r>
        <w:rPr>
          <w:rFonts w:asciiTheme="majorEastAsia" w:eastAsiaTheme="majorEastAsia" w:hAnsiTheme="majorEastAsia"/>
          <w:noProof/>
        </w:rPr>
        <w:drawing>
          <wp:inline distT="0" distB="0" distL="0" distR="0" wp14:anchorId="5DDC1186" wp14:editId="5E9931B2">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54C28BC3" w14:textId="77777777" w:rsidR="00B40C2D" w:rsidRDefault="00000000">
      <w:pPr>
        <w:pStyle w:val="a3"/>
        <w:jc w:val="left"/>
        <w:rPr>
          <w:rFonts w:asciiTheme="majorEastAsia" w:eastAsiaTheme="majorEastAsia" w:hAnsiTheme="majorEastAsia" w:cs="Segoe UI" w:hint="eastAsia"/>
          <w:color w:val="404040"/>
          <w:sz w:val="24"/>
        </w:rPr>
      </w:pPr>
      <w:bookmarkStart w:id="1" w:name="_Ref199264954"/>
      <w:bookmarkStart w:id="2" w:name="_Ref199264935"/>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2</w:t>
      </w:r>
      <w:r>
        <w:rPr>
          <w:rFonts w:asciiTheme="majorEastAsia" w:eastAsiaTheme="majorEastAsia" w:hAnsiTheme="majorEastAsia"/>
        </w:rPr>
        <w:fldChar w:fldCharType="end"/>
      </w:r>
      <w:bookmarkEnd w:id="1"/>
      <w:r>
        <w:rPr>
          <w:rFonts w:asciiTheme="majorEastAsia" w:eastAsiaTheme="majorEastAsia" w:hAnsiTheme="majorEastAsia" w:hint="eastAsia"/>
        </w:rPr>
        <w:t>. Upset graph to show the intersections of human circRNAs in seven subcellular localizations. Lots of circRNAs have multiple subcellular localizations.</w:t>
      </w:r>
      <w:bookmarkEnd w:id="2"/>
    </w:p>
    <w:p w14:paraId="46788817" w14:textId="77777777" w:rsidR="00B40C2D" w:rsidRDefault="00000000">
      <w:pPr>
        <w:pStyle w:val="2"/>
        <w:rPr>
          <w:rFonts w:asciiTheme="majorEastAsia" w:hAnsiTheme="majorEastAsia" w:hint="eastAsia"/>
          <w:sz w:val="28"/>
          <w:szCs w:val="28"/>
        </w:rPr>
      </w:pPr>
      <w:r>
        <w:rPr>
          <w:rFonts w:asciiTheme="majorEastAsia" w:hAnsiTheme="majorEastAsia" w:hint="eastAsia"/>
          <w:sz w:val="28"/>
          <w:szCs w:val="28"/>
        </w:rPr>
        <w:lastRenderedPageBreak/>
        <w:t>circRNA 的多源特性</w:t>
      </w:r>
    </w:p>
    <w:p w14:paraId="1909A270"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最近，使用对象的多个属性来构建高效的分类器非常流行。迄今为止，已经在一些公共数据库中发现并收集了几种circRNA特性，从而可以利用这些特性预测 circRNA亚细胞定位。本研究采用了circRNA的多种特性，介绍如下。</w:t>
      </w:r>
    </w:p>
    <w:p w14:paraId="21A9727D" w14:textId="77777777" w:rsidR="00B40C2D" w:rsidRDefault="00000000">
      <w:pPr>
        <w:pStyle w:val="3"/>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序列编码方法</w:t>
      </w:r>
    </w:p>
    <w:p w14:paraId="7C99EA0B"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序列编码方法的核心目标是</w:t>
      </w:r>
      <w:r>
        <w:rPr>
          <w:rFonts w:asciiTheme="majorEastAsia" w:eastAsiaTheme="majorEastAsia" w:hAnsiTheme="majorEastAsia" w:cs="Segoe UI"/>
          <w:color w:val="404040"/>
          <w:sz w:val="24"/>
        </w:rPr>
        <w:t>将基因组或蛋白质组序列转化为具有丰富数学表征的形式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从而有效揭示其与目标特性的关键关联</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。给定一个生物序列S，其原始线性表达可表示为</w:t>
      </w:r>
      <w:r>
        <w:rPr>
          <w:rFonts w:asciiTheme="majorEastAsia" w:eastAsiaTheme="majorEastAsia" w:hAnsiTheme="majorEastAsia" w:cs="Segoe UI" w:hint="eastAsia"/>
          <w:color w:val="404040"/>
          <w:sz w:val="24"/>
        </w:rPr>
        <w:t>：</w:t>
      </w:r>
    </w:p>
    <w:p w14:paraId="37B49086" w14:textId="77777777" w:rsidR="00B40C2D" w:rsidRDefault="00000000">
      <w:pPr>
        <w:widowControl/>
        <w:ind w:firstLineChars="200" w:firstLine="480"/>
        <w:jc w:val="left"/>
        <w:rPr>
          <w:rFonts w:asciiTheme="majorEastAsia" w:eastAsiaTheme="majorEastAsia" w:hAnsiTheme="majorEastAsia" w:cs="Segoe UI" w:hint="eastAsia"/>
          <w:iCs/>
          <w:color w:val="404040"/>
          <w:sz w:val="24"/>
        </w:rPr>
      </w:pPr>
      <m:oMath>
        <m:r>
          <m:rPr>
            <m:sty m:val="p"/>
          </m:rPr>
          <w:rPr>
            <w:rFonts w:ascii="Cambria Math" w:eastAsiaTheme="majorEastAsia" w:hAnsi="Cambria Math" w:cs="Segoe UI"/>
            <w:color w:val="404040"/>
            <w:sz w:val="24"/>
          </w:rPr>
          <m:t>S=</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1</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2</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3</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4</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5</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6</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7</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8</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color w:val="404040"/>
                <w:sz w:val="24"/>
              </w:rPr>
            </m:ctrlPr>
          </m:sSubPr>
          <m:e>
            <m:r>
              <m:rPr>
                <m:sty m:val="p"/>
              </m:rPr>
              <w:rPr>
                <w:rFonts w:ascii="Cambria Math" w:eastAsiaTheme="majorEastAsia" w:hAnsi="Cambria Math" w:cs="Segoe UI"/>
                <w:color w:val="404040"/>
                <w:sz w:val="24"/>
              </w:rPr>
              <m:t>R</m:t>
            </m:r>
          </m:e>
          <m:sub>
            <m:r>
              <w:rPr>
                <w:rFonts w:ascii="Cambria Math" w:eastAsiaTheme="majorEastAsia" w:hAnsi="Cambria Math" w:cs="Segoe UI"/>
                <w:color w:val="404040"/>
                <w:sz w:val="24"/>
              </w:rPr>
              <m:t>L</m:t>
            </m:r>
          </m:sub>
        </m:sSub>
      </m:oMath>
      <w:r>
        <w:rPr>
          <w:rFonts w:asciiTheme="majorEastAsia" w:eastAsiaTheme="majorEastAsia" w:hAnsiTheme="majorEastAsia" w:cs="Segoe UI" w:hint="eastAsia"/>
          <w:color w:val="404040"/>
          <w:sz w:val="24"/>
        </w:rPr>
        <w:t>(1)</w:t>
      </w:r>
    </w:p>
    <w:p w14:paraId="25192725"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其中 R 代表残基，下标表示该残基在长度为 L 的序列中的位置。由于所有算法都</w:t>
      </w:r>
      <w:r>
        <w:rPr>
          <w:rFonts w:asciiTheme="majorEastAsia" w:eastAsiaTheme="majorEastAsia" w:hAnsiTheme="majorEastAsia" w:cs="Segoe UI"/>
          <w:color w:val="404040"/>
          <w:sz w:val="24"/>
        </w:rPr>
        <w:t>需固定长度的特征向量作为输入</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，因此我们必须将表(1)中给出的序列表达式转换为实值向量。</w:t>
      </w:r>
      <w:r>
        <w:rPr>
          <w:rFonts w:asciiTheme="majorEastAsia" w:eastAsiaTheme="majorEastAsia" w:hAnsiTheme="majorEastAsia" w:cs="Segoe UI"/>
          <w:color w:val="404040"/>
          <w:sz w:val="24"/>
        </w:rPr>
        <w:t>考虑到生物序列的特异性和残基分布规律，研究者开发了多种序列描述符，用于将序列的生物学特征编码为统计特征向量</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_Ref198976041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其在不同类型序列中的表现存在显著差异</w:t>
      </w:r>
      <w:r>
        <w:rPr>
          <w:rFonts w:asciiTheme="majorEastAsia" w:eastAsiaTheme="majorEastAsia" w:hAnsiTheme="majorEastAsia" w:cs="Segoe UI" w:hint="eastAsia"/>
          <w:color w:val="404040"/>
          <w:sz w:val="24"/>
        </w:rPr>
        <w:t>。例如适用miRNA</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_Ref198976743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或piRNA</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_Ref198976746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等短序列(17-25个残基)的描述符</w:t>
      </w:r>
      <w:r>
        <w:rPr>
          <w:rFonts w:asciiTheme="majorEastAsia" w:eastAsiaTheme="majorEastAsia" w:hAnsiTheme="majorEastAsia" w:cs="Segoe UI" w:hint="eastAsia"/>
          <w:color w:val="404040"/>
          <w:sz w:val="24"/>
        </w:rPr>
        <w:t>，可能无法有效捕捉IncRNA或circRNA等长序列的特征，</w:t>
      </w:r>
      <w:r>
        <w:rPr>
          <w:rFonts w:asciiTheme="majorEastAsia" w:eastAsiaTheme="majorEastAsia" w:hAnsiTheme="majorEastAsia" w:cs="Segoe UI"/>
          <w:color w:val="404040"/>
          <w:sz w:val="24"/>
        </w:rPr>
        <w:t>对于长序列，需要能够捕获残基长程依赖关系的描述符。</w:t>
      </w:r>
      <w:r>
        <w:rPr>
          <w:rFonts w:asciiTheme="majorEastAsia" w:eastAsiaTheme="majorEastAsia" w:hAnsiTheme="majorEastAsia" w:cs="Segoe UI" w:hint="eastAsia"/>
          <w:color w:val="404040"/>
          <w:sz w:val="24"/>
        </w:rPr>
        <w:t>在本研究中，我们使用了两种不同的序列描述符，这些序列描述符被广泛用于编码特征上与 circRNA 序列相似的 ncRNA 序列</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_Ref198977188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。本研究中使用的不同序列描述符将在以下小结中简要描述。</w:t>
      </w:r>
    </w:p>
    <w:p w14:paraId="50FF6E56" w14:textId="77777777" w:rsidR="00B40C2D" w:rsidRDefault="00000000">
      <w:pPr>
        <w:pStyle w:val="4"/>
        <w:rPr>
          <w:rFonts w:asciiTheme="majorEastAsia" w:hAnsiTheme="majorEastAsia" w:cs="Segoe UI" w:hint="eastAsia"/>
          <w:color w:val="404040"/>
          <w:sz w:val="24"/>
        </w:rPr>
      </w:pPr>
      <w:r>
        <w:rPr>
          <w:rFonts w:asciiTheme="majorEastAsia" w:hAnsiTheme="majorEastAsia" w:cs="Segoe UI" w:hint="eastAsia"/>
          <w:color w:val="404040"/>
          <w:sz w:val="24"/>
        </w:rPr>
        <w:t>K-mer</w:t>
      </w:r>
    </w:p>
    <w:p w14:paraId="7238C66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在生物序列编码方法中，K-mer算法因其简洁高效的特点，已成为DNA、RNA和蛋白质序列表征的基础技术手段</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。如图</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_Ref199002149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_Ref199002149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_Ref198984550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所示，当窗口大小设为3且步长为1时，K-mer算法通过滑动窗口机制对序列进行特征提取。该技术已成功应用于增强子识别、人类基因调控序列预测</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_Ref198978299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_Ref198978301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以及调控序列特征分析</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_Ref198978307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等多个基因组学研究领域</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针对circRNA序列分析，我们采用K-mer算法进行特征编码。考虑到circRNA由A、U、C、G四种碱基组成，当K取值为4时，理论上可产生4</w:t>
      </w:r>
      <w:r>
        <w:rPr>
          <w:rFonts w:asciiTheme="majorEastAsia" w:eastAsiaTheme="majorEastAsia" w:hAnsiTheme="majorEastAsia" w:cs="Segoe UI"/>
          <w:color w:val="404040"/>
          <w:sz w:val="24"/>
          <w:vertAlign w:val="superscript"/>
        </w:rPr>
        <w:t>K</w:t>
      </w:r>
      <w:r>
        <w:rPr>
          <w:rFonts w:asciiTheme="majorEastAsia" w:eastAsiaTheme="majorEastAsia" w:hAnsiTheme="majorEastAsia" w:cs="Segoe UI"/>
          <w:color w:val="404040"/>
          <w:sz w:val="24"/>
        </w:rPr>
        <w:t>种不同的特征组合。对于长度为m的circRNA序列，其K-mer子序列数量可通过公式m-k+1精确计算。该算法通过统计K邻接残基的出现频率，为每个circRNA序列构建对应的特征向量</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，具体实现过程包含以下关键步骤：</w:t>
      </w:r>
      <w:r>
        <w:rPr>
          <w:rFonts w:asciiTheme="majorEastAsia" w:eastAsiaTheme="majorEastAsia" w:hAnsiTheme="majorEastAsia" w:cs="Segoe UI" w:hint="eastAsia"/>
          <w:color w:val="404040"/>
          <w:sz w:val="24"/>
        </w:rPr>
        <w:t>(1)</w:t>
      </w:r>
      <w:r>
        <w:rPr>
          <w:rFonts w:asciiTheme="majorEastAsia" w:eastAsiaTheme="majorEastAsia" w:hAnsiTheme="majorEastAsia" w:cs="Segoe UI"/>
          <w:color w:val="404040"/>
          <w:sz w:val="24"/>
        </w:rPr>
        <w:t>序列遍历：采用滑动窗口技术系统扫描整个circRNA序列</w:t>
      </w:r>
      <w:r>
        <w:rPr>
          <w:rFonts w:asciiTheme="majorEastAsia" w:eastAsiaTheme="majorEastAsia" w:hAnsiTheme="majorEastAsia" w:cs="Segoe UI" w:hint="eastAsia"/>
          <w:color w:val="404040"/>
          <w:sz w:val="24"/>
        </w:rPr>
        <w:t>。(2)</w:t>
      </w:r>
      <w:r>
        <w:rPr>
          <w:rFonts w:asciiTheme="majorEastAsia" w:eastAsiaTheme="majorEastAsia" w:hAnsiTheme="majorEastAsia" w:cs="Segoe UI"/>
          <w:color w:val="404040"/>
          <w:sz w:val="24"/>
        </w:rPr>
        <w:t>特征提取：记录所有可能的K-mer组合及其出现频次</w:t>
      </w:r>
      <w:r>
        <w:rPr>
          <w:rFonts w:asciiTheme="majorEastAsia" w:eastAsiaTheme="majorEastAsia" w:hAnsiTheme="majorEastAsia" w:cs="Segoe UI" w:hint="eastAsia"/>
          <w:color w:val="404040"/>
          <w:sz w:val="24"/>
        </w:rPr>
        <w:t>。(3)</w:t>
      </w:r>
      <w:r>
        <w:rPr>
          <w:rFonts w:asciiTheme="majorEastAsia" w:eastAsiaTheme="majorEastAsia" w:hAnsiTheme="majorEastAsia" w:cs="Segoe UI"/>
          <w:color w:val="404040"/>
          <w:sz w:val="24"/>
        </w:rPr>
        <w:t>向量构建：根据预设的K值生成</w:t>
      </w:r>
      <w:proofErr w:type="gramStart"/>
      <w:r>
        <w:rPr>
          <w:rFonts w:asciiTheme="majorEastAsia" w:eastAsiaTheme="majorEastAsia" w:hAnsiTheme="majorEastAsia" w:cs="Segoe UI"/>
          <w:color w:val="404040"/>
          <w:sz w:val="24"/>
        </w:rPr>
        <w:t>固定维</w:t>
      </w:r>
      <w:proofErr w:type="gramEnd"/>
      <w:r>
        <w:rPr>
          <w:rFonts w:asciiTheme="majorEastAsia" w:eastAsiaTheme="majorEastAsia" w:hAnsiTheme="majorEastAsia" w:cs="Segoe UI"/>
          <w:color w:val="404040"/>
          <w:sz w:val="24"/>
        </w:rPr>
        <w:t>度的特征表示</w:t>
      </w:r>
      <w:r>
        <w:rPr>
          <w:rFonts w:asciiTheme="majorEastAsia" w:eastAsiaTheme="majorEastAsia" w:hAnsiTheme="majorEastAsia" w:cs="Segoe UI" w:hint="eastAsia"/>
          <w:color w:val="404040"/>
          <w:sz w:val="24"/>
        </w:rPr>
        <w:t>。</w:t>
      </w:r>
    </w:p>
    <w:p w14:paraId="07209CF0"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hint="eastAsia"/>
          <w:noProof/>
          <w:color w:val="404040"/>
          <w:sz w:val="24"/>
        </w:rPr>
        <w:lastRenderedPageBreak/>
        <w:drawing>
          <wp:inline distT="0" distB="0" distL="0" distR="0" wp14:anchorId="361468B5" wp14:editId="4801C8F0">
            <wp:extent cx="4825365" cy="445770"/>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09316128" w14:textId="77777777" w:rsidR="00B40C2D" w:rsidRDefault="00000000">
      <w:pPr>
        <w:pStyle w:val="a3"/>
        <w:jc w:val="left"/>
        <w:rPr>
          <w:rFonts w:asciiTheme="majorEastAsia" w:eastAsiaTheme="majorEastAsia" w:hAnsiTheme="majorEastAsia" w:hint="eastAsia"/>
          <w:b/>
          <w:bCs/>
        </w:rPr>
      </w:pPr>
      <w:bookmarkStart w:id="3" w:name="_Ref199002149"/>
      <w:bookmarkStart w:id="4" w:name="_Ref199002194"/>
      <w:bookmarkStart w:id="5" w:name="_Ref199010002"/>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3</w:t>
      </w:r>
      <w:r>
        <w:rPr>
          <w:rFonts w:asciiTheme="majorEastAsia" w:eastAsiaTheme="majorEastAsia" w:hAnsiTheme="majorEastAsia"/>
        </w:rPr>
        <w:fldChar w:fldCharType="end"/>
      </w:r>
      <w:bookmarkEnd w:id="3"/>
      <w:bookmarkEnd w:id="4"/>
      <w:r>
        <w:rPr>
          <w:rFonts w:asciiTheme="majorEastAsia" w:eastAsiaTheme="majorEastAsia" w:hAnsiTheme="majorEastAsia" w:hint="eastAsia"/>
        </w:rPr>
        <w:t>．</w:t>
      </w:r>
      <w:r>
        <w:rPr>
          <w:rFonts w:asciiTheme="majorEastAsia" w:eastAsiaTheme="majorEastAsia" w:hAnsiTheme="majorEastAsia"/>
        </w:rPr>
        <w:t>Process of Generating Sequence K-mers (e.g., 3-mers), Where each Particular Color Frame Denotes a Unique 3-mer.</w:t>
      </w:r>
      <w:bookmarkEnd w:id="5"/>
    </w:p>
    <w:p w14:paraId="4668F753" w14:textId="77777777" w:rsidR="00B40C2D" w:rsidRDefault="00B40C2D">
      <w:pPr>
        <w:pStyle w:val="a3"/>
        <w:jc w:val="left"/>
        <w:rPr>
          <w:rFonts w:asciiTheme="majorEastAsia" w:eastAsiaTheme="majorEastAsia" w:hAnsiTheme="majorEastAsia" w:cs="Segoe UI" w:hint="eastAsia"/>
          <w:color w:val="404040"/>
          <w:sz w:val="24"/>
        </w:rPr>
      </w:pPr>
    </w:p>
    <w:p w14:paraId="43E5030B" w14:textId="77777777" w:rsidR="00B40C2D" w:rsidRDefault="00000000">
      <w:pPr>
        <w:pStyle w:val="4"/>
        <w:rPr>
          <w:rFonts w:asciiTheme="majorEastAsia" w:hAnsiTheme="majorEastAsia" w:cs="Segoe UI" w:hint="eastAsia"/>
          <w:color w:val="404040"/>
          <w:sz w:val="24"/>
        </w:rPr>
      </w:pPr>
      <w:r>
        <w:rPr>
          <w:rFonts w:asciiTheme="majorEastAsia" w:hAnsiTheme="majorEastAsia" w:cs="Segoe UI"/>
          <w:color w:val="404040"/>
          <w:sz w:val="24"/>
        </w:rPr>
        <w:t>Reverse Complimen</w:t>
      </w:r>
      <w:r>
        <w:rPr>
          <w:rFonts w:asciiTheme="majorEastAsia" w:hAnsiTheme="majorEastAsia" w:cs="Segoe UI" w:hint="eastAsia"/>
          <w:color w:val="404040"/>
          <w:sz w:val="24"/>
        </w:rPr>
        <w:t xml:space="preserve"> K-mer</w:t>
      </w:r>
    </w:p>
    <w:p w14:paraId="43B2994F"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反向互补K-mer编码作为传统K-mer方法的改进形式，已被广泛应用于DNA调控区预测</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_Ref198985698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、DNA N4-甲基胞嘧啶位点识别</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_Ref198985721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以及RNA亚细胞定位分析</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_Ref198985755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等研究领域。该方法通过以下两个关键步骤实现序列特征优化：</w:t>
      </w:r>
      <w:r>
        <w:rPr>
          <w:rFonts w:asciiTheme="majorEastAsia" w:eastAsiaTheme="majorEastAsia" w:hAnsiTheme="majorEastAsia" w:cs="Segoe UI" w:hint="eastAsia"/>
          <w:color w:val="404040"/>
          <w:sz w:val="24"/>
        </w:rPr>
        <w:t>(1)序列转换处理：首</w:t>
      </w:r>
      <w:r>
        <w:rPr>
          <w:rFonts w:asciiTheme="majorEastAsia" w:eastAsiaTheme="majorEastAsia" w:hAnsiTheme="majorEastAsia" w:cs="Segoe UI"/>
          <w:color w:val="404040"/>
          <w:sz w:val="24"/>
        </w:rPr>
        <w:t>先对RNA序列进行反向排列</w:t>
      </w:r>
      <w:r>
        <w:rPr>
          <w:rFonts w:asciiTheme="majorEastAsia" w:eastAsiaTheme="majorEastAsia" w:hAnsiTheme="majorEastAsia" w:cs="Segoe UI" w:hint="eastAsia"/>
          <w:color w:val="404040"/>
          <w:sz w:val="24"/>
        </w:rPr>
        <w:t>，随</w:t>
      </w:r>
      <w:r>
        <w:rPr>
          <w:rFonts w:asciiTheme="majorEastAsia" w:eastAsiaTheme="majorEastAsia" w:hAnsiTheme="majorEastAsia" w:cs="Segoe UI"/>
          <w:color w:val="404040"/>
          <w:sz w:val="24"/>
        </w:rPr>
        <w:t>后按照碱基互补原则（A</w:t>
      </w:r>
      <w:r>
        <w:rPr>
          <w:rFonts w:ascii="Times New Roman" w:eastAsiaTheme="majorEastAsia" w:hAnsi="Times New Roman" w:cs="Times New Roman"/>
          <w:color w:val="404040"/>
          <w:sz w:val="24"/>
        </w:rPr>
        <w:t>↔</w:t>
      </w:r>
      <w:r>
        <w:rPr>
          <w:rFonts w:asciiTheme="majorEastAsia" w:eastAsiaTheme="majorEastAsia" w:hAnsiTheme="majorEastAsia" w:cs="Segoe UI"/>
          <w:color w:val="404040"/>
          <w:sz w:val="24"/>
        </w:rPr>
        <w:t>U，C</w:t>
      </w:r>
      <w:r>
        <w:rPr>
          <w:rFonts w:ascii="Times New Roman" w:eastAsiaTheme="majorEastAsia" w:hAnsi="Times New Roman" w:cs="Times New Roman"/>
          <w:color w:val="404040"/>
          <w:sz w:val="24"/>
        </w:rPr>
        <w:t>↔</w:t>
      </w:r>
      <w:r>
        <w:rPr>
          <w:rFonts w:asciiTheme="majorEastAsia" w:eastAsiaTheme="majorEastAsia" w:hAnsiTheme="majorEastAsia" w:cs="Segoe UI"/>
          <w:color w:val="404040"/>
          <w:sz w:val="24"/>
        </w:rPr>
        <w:t>G）进行替换</w:t>
      </w:r>
      <w:r>
        <w:rPr>
          <w:rFonts w:asciiTheme="majorEastAsia" w:eastAsiaTheme="majorEastAsia" w:hAnsiTheme="majorEastAsia" w:cs="Segoe UI" w:hint="eastAsia"/>
          <w:color w:val="404040"/>
          <w:sz w:val="24"/>
        </w:rPr>
        <w:t>，最终</w:t>
      </w:r>
      <w:r>
        <w:rPr>
          <w:rFonts w:asciiTheme="majorEastAsia" w:eastAsiaTheme="majorEastAsia" w:hAnsiTheme="majorEastAsia" w:cs="Segoe UI"/>
          <w:color w:val="404040"/>
          <w:sz w:val="24"/>
        </w:rPr>
        <w:t>生成具有生物学意义的反向互补序列</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_Ref198978299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[26]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。(2)</w:t>
      </w:r>
      <w:proofErr w:type="gramStart"/>
      <w:r>
        <w:rPr>
          <w:rFonts w:asciiTheme="majorEastAsia" w:eastAsiaTheme="majorEastAsia" w:hAnsiTheme="majorEastAsia" w:cs="Segoe UI" w:hint="eastAsia"/>
          <w:color w:val="404040"/>
          <w:sz w:val="24"/>
        </w:rPr>
        <w:t>特征降维优化</w:t>
      </w:r>
      <w:proofErr w:type="gramEnd"/>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以4种标准碱基（A、G、C、U）为例，当K=2时</w:t>
      </w:r>
      <w:r>
        <w:rPr>
          <w:rFonts w:asciiTheme="majorEastAsia" w:eastAsiaTheme="majorEastAsia" w:hAnsiTheme="majorEastAsia" w:cs="Segoe UI" w:hint="eastAsia"/>
          <w:color w:val="404040"/>
          <w:sz w:val="24"/>
        </w:rPr>
        <w:t>，传统K-mer方法产生16种组合，</w:t>
      </w:r>
      <w:r>
        <w:rPr>
          <w:rFonts w:asciiTheme="majorEastAsia" w:eastAsiaTheme="majorEastAsia" w:hAnsiTheme="majorEastAsia" w:cs="Segoe UI"/>
          <w:color w:val="404040"/>
          <w:sz w:val="24"/>
        </w:rPr>
        <w:t>通过去除反向互补重复特征（如AC与GU），精简为10个独特特征</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AA, AC, AG, AU, CA, CC, CG, GA, GC, UA</w:t>
      </w:r>
      <w:r>
        <w:rPr>
          <w:rFonts w:asciiTheme="majorEastAsia" w:eastAsiaTheme="majorEastAsia" w:hAnsiTheme="majorEastAsia" w:cs="Segoe UI" w:hint="eastAsia"/>
          <w:color w:val="404040"/>
          <w:sz w:val="24"/>
        </w:rPr>
        <w:t>)。本研究采用系统性实验策略，通过生成2至5-mer的多尺寸特征，全面考察不同K值对circRNA序列特征的捕获能力。</w:t>
      </w:r>
    </w:p>
    <w:p w14:paraId="35B03D26" w14:textId="77777777" w:rsidR="00B40C2D" w:rsidRDefault="00000000">
      <w:pPr>
        <w:pStyle w:val="3"/>
        <w:rPr>
          <w:rFonts w:asciiTheme="majorEastAsia" w:eastAsiaTheme="majorEastAsia" w:hAnsiTheme="majorEastAsia" w:cs="Segoe UI" w:hint="eastAsia"/>
          <w:color w:val="404040"/>
          <w:sz w:val="28"/>
          <w:szCs w:val="36"/>
        </w:rPr>
      </w:pPr>
      <w:r>
        <w:rPr>
          <w:rFonts w:asciiTheme="majorEastAsia" w:eastAsiaTheme="majorEastAsia" w:hAnsiTheme="majorEastAsia" w:cs="Segoe UI"/>
          <w:color w:val="404040"/>
          <w:sz w:val="28"/>
          <w:szCs w:val="36"/>
        </w:rPr>
        <w:t>RNAErnie</w:t>
      </w:r>
      <w:r>
        <w:rPr>
          <w:rFonts w:asciiTheme="majorEastAsia" w:eastAsiaTheme="majorEastAsia" w:hAnsiTheme="majorEastAsia" w:cs="Segoe UI" w:hint="eastAsia"/>
          <w:color w:val="404040"/>
          <w:sz w:val="28"/>
          <w:szCs w:val="36"/>
        </w:rPr>
        <w:t xml:space="preserve"> model</w:t>
      </w:r>
    </w:p>
    <w:p w14:paraId="45269F4A"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近期，</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语言模型在分析核苷酸序列方面展现出巨大潜力，特别是在RNA序列的结构与功能研究中日益受到关注。在本研究中，我们引入了RNAErnie</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_Ref199265838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模型作为特征提取模块的重要组成部分。RNAErnie是一种基于Transformer架构的RNA专用</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语言模型，其设计融合了两项关键创新策略。首先，在</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阶段，RNAErnie引入了“多尺度掩码策略”，即在碱基级别、子序列级别以及生物学上具有重要意义的motif级别上同时进行掩码操作，显著增强了模型对RNA局部结构与功能元素的捕捉能力。与传统的token掩码方式不同，该策略借助motif数据库对RNA结构信息进行有效建模，从而提高了模型在结构预测与序列分类任务中的表现。其次，在微调阶段，RNAErnie提出了“类型引导微调架构”（type-guided fine-tuning），通过预先预测RNA类型并将其作为附加输入，以引导模型在特征空间中更好地适配特定类型的RNA。这种方法尤其适用于目标任务与</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分布存在差异的场景，具备良好的泛化能力与迁移性能。</w:t>
      </w:r>
    </w:p>
    <w:p w14:paraId="75B9B478"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综合以上优势，RNAErnie不仅在多项下游任务（如RNA序列分类、RNA-RNA相互作用预测、RNA二级结构预测等）中取得了</w:t>
      </w:r>
      <w:r>
        <w:rPr>
          <w:rFonts w:asciiTheme="majorEastAsia" w:eastAsiaTheme="majorEastAsia" w:hAnsiTheme="majorEastAsia" w:cs="Segoe UI" w:hint="eastAsia"/>
          <w:color w:val="404040"/>
          <w:sz w:val="24"/>
        </w:rPr>
        <w:t>优异</w:t>
      </w:r>
      <w:r>
        <w:rPr>
          <w:rFonts w:asciiTheme="majorEastAsia" w:eastAsiaTheme="majorEastAsia" w:hAnsiTheme="majorEastAsia" w:cs="Segoe UI"/>
          <w:color w:val="404040"/>
          <w:sz w:val="24"/>
        </w:rPr>
        <w:t>的性能表现，而且其统一的</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基础架构为多任务RNA分析提供了支撑。在本研究中，我们充分利用了RNAErnie模型对circRNA多</w:t>
      </w:r>
      <w:proofErr w:type="gramStart"/>
      <w:r>
        <w:rPr>
          <w:rFonts w:asciiTheme="majorEastAsia" w:eastAsiaTheme="majorEastAsia" w:hAnsiTheme="majorEastAsia" w:cs="Segoe UI"/>
          <w:color w:val="404040"/>
          <w:sz w:val="24"/>
        </w:rPr>
        <w:t>源特征</w:t>
      </w:r>
      <w:proofErr w:type="gramEnd"/>
      <w:r>
        <w:rPr>
          <w:rFonts w:asciiTheme="majorEastAsia" w:eastAsiaTheme="majorEastAsia" w:hAnsiTheme="majorEastAsia" w:cs="Segoe UI"/>
          <w:color w:val="404040"/>
          <w:sz w:val="24"/>
        </w:rPr>
        <w:t>的建模能力，将其嵌入到整体分析框架中，以提升特征表达的质量与下游预测模型的准确性</w:t>
      </w:r>
    </w:p>
    <w:p w14:paraId="704D5095"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lastRenderedPageBreak/>
        <w:t>circ</w:t>
      </w:r>
      <w:r>
        <w:rPr>
          <w:rFonts w:asciiTheme="majorEastAsia" w:eastAsiaTheme="majorEastAsia" w:hAnsiTheme="majorEastAsia" w:cs="Segoe UI"/>
          <w:color w:val="404040"/>
          <w:sz w:val="28"/>
          <w:szCs w:val="28"/>
        </w:rPr>
        <w:t xml:space="preserve">RNA sequences and similarity </w:t>
      </w:r>
      <w:r>
        <w:rPr>
          <w:rFonts w:asciiTheme="majorEastAsia" w:eastAsiaTheme="majorEastAsia" w:hAnsiTheme="majorEastAsia" w:cs="Segoe UI" w:hint="eastAsia"/>
          <w:color w:val="404040"/>
          <w:sz w:val="28"/>
          <w:szCs w:val="28"/>
        </w:rPr>
        <w:t>network</w:t>
      </w:r>
    </w:p>
    <w:p w14:paraId="61196108"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上文使用circRNA的序列提取生物信息，对于</w:t>
      </w:r>
      <w:proofErr w:type="gramStart"/>
      <w:r>
        <w:rPr>
          <w:rFonts w:asciiTheme="majorEastAsia" w:eastAsiaTheme="majorEastAsia" w:hAnsiTheme="majorEastAsia" w:cs="Segoe UI" w:hint="eastAsia"/>
          <w:color w:val="404040"/>
          <w:sz w:val="24"/>
        </w:rPr>
        <w:t>构建图</w:t>
      </w:r>
      <w:proofErr w:type="gramEnd"/>
      <w:r>
        <w:rPr>
          <w:rFonts w:asciiTheme="majorEastAsia" w:eastAsiaTheme="majorEastAsia" w:hAnsiTheme="majorEastAsia" w:cs="Segoe UI" w:hint="eastAsia"/>
          <w:color w:val="404040"/>
          <w:sz w:val="24"/>
        </w:rPr>
        <w:t>神经网络circRNA序列也起着十分重要的作用。对于从</w:t>
      </w:r>
      <w:r>
        <w:rPr>
          <w:rFonts w:asciiTheme="majorEastAsia" w:eastAsiaTheme="majorEastAsia" w:hAnsiTheme="majorEastAsia" w:cs="Segoe UI"/>
          <w:color w:val="404040"/>
          <w:sz w:val="24"/>
        </w:rPr>
        <w:t>RNALocate v3.0</w:t>
      </w:r>
      <w:r>
        <w:rPr>
          <w:rFonts w:asciiTheme="majorEastAsia" w:eastAsiaTheme="majorEastAsia" w:hAnsiTheme="majorEastAsia" w:cs="Segoe UI" w:hint="eastAsia"/>
          <w:color w:val="404040"/>
          <w:sz w:val="24"/>
        </w:rPr>
        <w:t>和circBase获得的circRNA序列采用SmithWaterman算法</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_Ref199003078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 xml:space="preserve">来测量两个circRNA的序列相似性，对于circRNA </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和</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hint="eastAsia"/>
                <w:color w:val="404040"/>
                <w:sz w:val="24"/>
              </w:rPr>
              <m:t>j</m:t>
            </m:r>
          </m:sub>
        </m:sSub>
      </m:oMath>
      <w:r>
        <w:rPr>
          <w:rFonts w:asciiTheme="majorEastAsia" w:eastAsiaTheme="majorEastAsia" w:hAnsiTheme="majorEastAsia" w:cs="Segoe UI" w:hint="eastAsia"/>
          <w:color w:val="404040"/>
          <w:sz w:val="24"/>
        </w:rPr>
        <w:t>，它们的序列相似性可以通过以下方式计算：</w:t>
      </w:r>
    </w:p>
    <w:p w14:paraId="25AC6851" w14:textId="7D2C09A2" w:rsidR="00B40C2D" w:rsidRDefault="00000000">
      <w:pPr>
        <w:widowControl/>
        <w:ind w:firstLineChars="200" w:firstLine="480"/>
        <w:rPr>
          <w:rFonts w:asciiTheme="majorEastAsia" w:eastAsiaTheme="majorEastAsia" w:hAnsiTheme="majorEastAsia" w:cs="Segoe UI" w:hint="eastAsia"/>
          <w:color w:val="404040"/>
          <w:sz w:val="24"/>
        </w:rPr>
      </w:pPr>
      <m:oMath>
        <m:r>
          <m:rPr>
            <m:sty m:val="p"/>
          </m:rPr>
          <w:rPr>
            <w:rFonts w:ascii="Cambria Math" w:eastAsiaTheme="majorEastAsia" w:hAnsi="Cambria Math" w:cs="Segoe UI" w:hint="eastAsia"/>
            <w:color w:val="404040"/>
            <w:sz w:val="24"/>
          </w:rPr>
          <m:t>SW</m:t>
        </m:r>
        <m:d>
          <m:dPr>
            <m:ctrlPr>
              <w:rPr>
                <w:rFonts w:ascii="Cambria Math" w:eastAsiaTheme="majorEastAsia" w:hAnsi="Cambria Math" w:cs="Segoe UI"/>
                <w:iCs/>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e>
        </m:d>
        <m:r>
          <m:rPr>
            <m:sty m:val="p"/>
          </m:rPr>
          <w:rPr>
            <w:rFonts w:ascii="Cambria Math" w:eastAsiaTheme="majorEastAsia" w:hAnsi="Cambria Math" w:cs="Segoe UI"/>
            <w:color w:val="404040"/>
            <w:sz w:val="24"/>
          </w:rPr>
          <m:t>=</m:t>
        </m:r>
        <m:f>
          <m:fPr>
            <m:ctrlPr>
              <w:rPr>
                <w:rFonts w:ascii="Cambria Math" w:eastAsiaTheme="majorEastAsia" w:hAnsi="Cambria Math" w:cs="Segoe UI"/>
                <w:iCs/>
                <w:color w:val="404040"/>
                <w:sz w:val="24"/>
              </w:rPr>
            </m:ctrlPr>
          </m:fPr>
          <m:num>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m:rPr>
                <m:sty m:val="p"/>
              </m:rPr>
              <w:rPr>
                <w:rFonts w:ascii="Cambria Math" w:eastAsiaTheme="majorEastAsia" w:hAnsi="Cambria Math" w:cs="Segoe UI"/>
                <w:color w:val="404040"/>
                <w:sz w:val="24"/>
              </w:rPr>
              <m:t>)</m:t>
            </m:r>
          </m:num>
          <m:den>
            <m:rad>
              <m:radPr>
                <m:degHide m:val="1"/>
                <m:ctrlPr>
                  <w:rPr>
                    <w:rFonts w:ascii="Cambria Math" w:eastAsiaTheme="majorEastAsia" w:hAnsi="Cambria Math" w:cs="Segoe UI"/>
                    <w:i/>
                    <w:iCs/>
                    <w:color w:val="404040"/>
                    <w:sz w:val="24"/>
                  </w:rPr>
                </m:ctrlPr>
              </m:radPr>
              <m:deg/>
              <m:e>
                <m:r>
                  <m:rPr>
                    <m:sty m:val="p"/>
                  </m:rPr>
                  <w:rPr>
                    <w:rFonts w:ascii="Cambria Math" w:eastAsiaTheme="majorEastAsia" w:hAnsi="Cambria Math" w:cs="Segoe UI" w:hint="eastAsia"/>
                    <w:color w:val="404040"/>
                    <w:sz w:val="24"/>
                  </w:rPr>
                  <m:t>sp</m:t>
                </m:r>
                <m:d>
                  <m:dPr>
                    <m:ctrlPr>
                      <w:rPr>
                        <w:rFonts w:ascii="Cambria Math" w:eastAsiaTheme="majorEastAsia" w:hAnsi="Cambria Math" w:cs="Segoe UI"/>
                        <w:color w:val="404040"/>
                        <w:sz w:val="24"/>
                      </w:rPr>
                    </m:ctrlPr>
                  </m:dPr>
                  <m:e>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ctrlPr>
                      <w:rPr>
                        <w:rFonts w:ascii="Cambria Math" w:eastAsiaTheme="majorEastAsia" w:hAnsi="Cambria Math" w:cs="Segoe UI"/>
                        <w:i/>
                        <w:iCs/>
                        <w:color w:val="404040"/>
                        <w:sz w:val="24"/>
                      </w:rPr>
                    </m:ctrlPr>
                  </m:e>
                </m:d>
                <m:r>
                  <w:rPr>
                    <w:rFonts w:ascii="Cambria Math" w:eastAsiaTheme="majorEastAsia" w:hAnsi="Cambria Math" w:cs="Segoe UI" w:hint="eastAsia"/>
                    <w:color w:val="404040"/>
                    <w:sz w:val="24"/>
                  </w:rPr>
                  <m:t>·</m:t>
                </m:r>
                <m:r>
                  <m:rPr>
                    <m:sty m:val="p"/>
                  </m:rPr>
                  <w:rPr>
                    <w:rFonts w:ascii="Cambria Math" w:eastAsiaTheme="majorEastAsia" w:hAnsi="Cambria Math" w:cs="Segoe UI" w:hint="eastAsia"/>
                    <w:color w:val="404040"/>
                    <w:sz w:val="24"/>
                  </w:rPr>
                  <m:t>sp</m:t>
                </m:r>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r>
                  <m:rPr>
                    <m:sty m:val="p"/>
                  </m:rPr>
                  <w:rPr>
                    <w:rFonts w:ascii="Cambria Math" w:eastAsiaTheme="majorEastAsia" w:hAnsi="Cambria Math" w:cs="Segoe UI"/>
                    <w:color w:val="404040"/>
                    <w:sz w:val="24"/>
                  </w:rPr>
                  <m:t>,</m:t>
                </m:r>
                <m:sSub>
                  <m:sSubPr>
                    <m:ctrlPr>
                      <w:rPr>
                        <w:rFonts w:ascii="Cambria Math" w:eastAsiaTheme="majorEastAsia" w:hAnsi="Cambria Math" w:cs="Segoe UI"/>
                        <w:iCs/>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j</m:t>
                    </m:r>
                  </m:sub>
                </m:sSub>
                <m:r>
                  <w:rPr>
                    <w:rFonts w:ascii="Cambria Math" w:eastAsiaTheme="majorEastAsia" w:hAnsi="Cambria Math" w:cs="Segoe UI"/>
                    <w:color w:val="404040"/>
                    <w:sz w:val="24"/>
                  </w:rPr>
                  <m:t>)</m:t>
                </m:r>
              </m:e>
            </m:rad>
          </m:den>
        </m:f>
      </m:oMath>
      <w:r w:rsidR="00E20B05">
        <w:rPr>
          <w:rFonts w:asciiTheme="majorEastAsia" w:eastAsiaTheme="majorEastAsia" w:hAnsiTheme="majorEastAsia" w:cs="Segoe UI" w:hint="eastAsia"/>
          <w:iCs/>
          <w:color w:val="404040"/>
          <w:sz w:val="24"/>
        </w:rPr>
        <w:t xml:space="preserve">        </w:t>
      </w:r>
      <w:r>
        <w:rPr>
          <w:rFonts w:asciiTheme="majorEastAsia" w:eastAsiaTheme="majorEastAsia" w:hAnsiTheme="majorEastAsia" w:cs="Segoe UI" w:hint="eastAsia"/>
          <w:color w:val="404040"/>
          <w:sz w:val="24"/>
        </w:rPr>
        <w:t>(2)</w:t>
      </w:r>
    </w:p>
    <w:p w14:paraId="622AC14B"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基于公式(2)，我们构建了一个circRNA序列相似性网络，用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表示，1486个circRNA作为图节点，而且当且仅当它们的序列相似性分数大于0时两个circRNA节点才相连接。此外，相连节点的circRNA的序列相似性分数作为边的权重。为方便起见，这个网络用</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表示。</w:t>
      </w:r>
    </w:p>
    <w:p w14:paraId="1D463A3B"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t>circRNA-disease association network</w:t>
      </w:r>
    </w:p>
    <w:p w14:paraId="2A34B710"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近年来，越来越多的研究表明circRNA在多种疾病的发生与发展过程中具有重要作用，其与多种人类疾病之间存在显著的相关性</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_Ref199007134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_Ref199007135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_Ref199007136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_Ref199007137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在疾病关联研究中，circRNA的功能性常被视为其在特定疾病背景下的调控作用，因此circRNA–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的关联信息对于理解其生物学功能具有重要价值。</w:t>
      </w:r>
      <w:r>
        <w:rPr>
          <w:rFonts w:asciiTheme="majorEastAsia" w:eastAsiaTheme="majorEastAsia" w:hAnsiTheme="majorEastAsia" w:cs="Segoe UI" w:hint="eastAsia"/>
          <w:color w:val="404040"/>
          <w:sz w:val="24"/>
        </w:rPr>
        <w:t>本研究基于circRAN Disease</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_Ref199007253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中收集了已知的circRNA-disease关联的数据集，</w:t>
      </w:r>
      <w:r>
        <w:rPr>
          <w:rFonts w:asciiTheme="majorEastAsia" w:eastAsiaTheme="majorEastAsia" w:hAnsiTheme="majorEastAsia" w:cs="Segoe UI"/>
          <w:color w:val="404040"/>
          <w:sz w:val="24"/>
        </w:rPr>
        <w:t>该数据集中涵盖了337个circRNA与177种疾病之间的实验验证关系。结合前文中构建的circRNA相似性网络</w:t>
      </w:r>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hint="eastAsia"/>
          <w:color w:val="404040"/>
          <w:sz w:val="24"/>
        </w:rPr>
        <w:t>网络)，</w:t>
      </w:r>
      <w:r>
        <w:rPr>
          <w:rFonts w:asciiTheme="majorEastAsia" w:eastAsiaTheme="majorEastAsia" w:hAnsiTheme="majorEastAsia" w:cs="Segoe UI"/>
          <w:color w:val="404040"/>
          <w:sz w:val="24"/>
        </w:rPr>
        <w:t>我们进一步构建了一个circRNA–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异构关联网络，用于综合建模circRNA的结构相似性与功能关联性。该网络包含1486个circRNA节点与177个疾病节点。circRNA节点之间的</w:t>
      </w:r>
      <w:proofErr w:type="gramStart"/>
      <w:r>
        <w:rPr>
          <w:rFonts w:asciiTheme="majorEastAsia" w:eastAsiaTheme="majorEastAsia" w:hAnsiTheme="majorEastAsia" w:cs="Segoe UI"/>
          <w:color w:val="404040"/>
          <w:sz w:val="24"/>
        </w:rPr>
        <w:t>边按照</w:t>
      </w:r>
      <w:proofErr w:type="gramEnd"/>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网络中定义的相似性度量建立；同时，基于circR2Disease中提供的337条circRNA–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配对信息，我们为相应的circRNA节点与疾病节点之间添加了关联边。为便于描述，该网络在后续分析中记为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di</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”表示疾病节点。</w:t>
      </w:r>
    </w:p>
    <w:p w14:paraId="435F9B2F"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t>circRNA-drug association network</w:t>
      </w:r>
    </w:p>
    <w:p w14:paraId="45D120A8"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与疾病类似，已有研究证实circRNA在多种药物反应机制中也发挥着关键作用。例如，circ-PVT1 被发现可促进胃癌细胞对紫杉醇的耐药性</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_Ref199007582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而circCELSR1 的</w:t>
      </w:r>
      <w:proofErr w:type="gramStart"/>
      <w:r>
        <w:rPr>
          <w:rFonts w:asciiTheme="majorEastAsia" w:eastAsiaTheme="majorEastAsia" w:hAnsiTheme="majorEastAsia" w:cs="Segoe UI"/>
          <w:color w:val="404040"/>
          <w:sz w:val="24"/>
        </w:rPr>
        <w:t>高表达</w:t>
      </w:r>
      <w:proofErr w:type="gramEnd"/>
      <w:r>
        <w:rPr>
          <w:rFonts w:asciiTheme="majorEastAsia" w:eastAsiaTheme="majorEastAsia" w:hAnsiTheme="majorEastAsia" w:cs="Segoe UI"/>
          <w:color w:val="404040"/>
          <w:sz w:val="24"/>
        </w:rPr>
        <w:t>则显著降低卵巢癌细胞对紫杉醇的敏感性 </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_Ref199007621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[39]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这些发现提示，circRNA与药物之间的关联关系不仅揭示了其潜在的生物学功能，也可能为预测其亚细胞定位提供有力支持。基于上述，本研究引入circRNA–药物敏感性信息以辅助</w:t>
      </w:r>
      <w:proofErr w:type="gramStart"/>
      <w:r>
        <w:rPr>
          <w:rFonts w:asciiTheme="majorEastAsia" w:eastAsiaTheme="majorEastAsia" w:hAnsiTheme="majorEastAsia" w:cs="Segoe UI"/>
          <w:color w:val="404040"/>
          <w:sz w:val="24"/>
        </w:rPr>
        <w:t>构建亚</w:t>
      </w:r>
      <w:proofErr w:type="gramEnd"/>
      <w:r>
        <w:rPr>
          <w:rFonts w:asciiTheme="majorEastAsia" w:eastAsiaTheme="majorEastAsia" w:hAnsiTheme="majorEastAsia" w:cs="Segoe UI"/>
          <w:color w:val="404040"/>
          <w:sz w:val="24"/>
        </w:rPr>
        <w:t>细胞定位分类器。具体而言，我们从</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_Ref199008164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[40]</w:t>
      </w:r>
      <w:r>
        <w:rPr>
          <w:rFonts w:asciiTheme="majorEastAsia" w:eastAsiaTheme="majorEastAsia" w:hAnsiTheme="majorEastAsia" w:cs="Segoe UI"/>
          <w:color w:val="404040"/>
          <w:sz w:val="24"/>
        </w:rPr>
        <w:fldChar w:fldCharType="end"/>
      </w:r>
      <w:r>
        <w:rPr>
          <w:rFonts w:asciiTheme="majorEastAsia" w:eastAsiaTheme="majorEastAsia" w:hAnsiTheme="majorEastAsia"/>
        </w:rPr>
        <w:t xml:space="preserve"> </w:t>
      </w:r>
      <w:r>
        <w:rPr>
          <w:rFonts w:asciiTheme="majorEastAsia" w:eastAsiaTheme="majorEastAsia" w:hAnsiTheme="majorEastAsia" w:cs="Segoe UI"/>
          <w:color w:val="404040"/>
          <w:sz w:val="24"/>
        </w:rPr>
        <w:t>中获取了circRNA–药物敏感性关联数据，并进一步筛选出与本研究基准数据集（即具有定位标签的circRNA）相关的条目。经过筛选，我们最终获得了包含64个circRNA与217种药物之间的有效关联信息。</w:t>
      </w:r>
    </w:p>
    <w:p w14:paraId="02DEAAEC" w14:textId="77777777" w:rsidR="00B40C2D" w:rsidRDefault="00000000">
      <w:pPr>
        <w:widowControl/>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lastRenderedPageBreak/>
        <w:t>在此基础上，我们构建了circRNA–药物异构关联网络，其中circRNA节点之间的</w:t>
      </w:r>
      <w:proofErr w:type="gramStart"/>
      <w:r>
        <w:rPr>
          <w:rFonts w:asciiTheme="majorEastAsia" w:eastAsiaTheme="majorEastAsia" w:hAnsiTheme="majorEastAsia" w:cs="Segoe UI"/>
          <w:color w:val="404040"/>
          <w:sz w:val="24"/>
        </w:rPr>
        <w:t>边仍然</w:t>
      </w:r>
      <w:proofErr w:type="gramEnd"/>
      <w:r>
        <w:rPr>
          <w:rFonts w:asciiTheme="majorEastAsia" w:eastAsiaTheme="majorEastAsia" w:hAnsiTheme="majorEastAsia" w:cs="Segoe UI"/>
          <w:color w:val="404040"/>
          <w:sz w:val="24"/>
        </w:rPr>
        <w:t>依据</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网络中的相似性原则建立；同时，64个circRNA与217个药物之间的已知关联关系则决定了是否在节点间添加边。为了便于后续描述，该网络在本文中记为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dr</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”表示circRNA节点，“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d</m:t>
            </m:r>
          </m:e>
          <m:sub>
            <m:r>
              <w:rPr>
                <w:rFonts w:ascii="Cambria Math" w:eastAsiaTheme="majorEastAsia" w:hAnsi="Cambria Math" w:cs="Segoe UI"/>
                <w:color w:val="404040"/>
                <w:sz w:val="24"/>
              </w:rPr>
              <m:t>r</m:t>
            </m:r>
          </m:sub>
        </m:sSub>
      </m:oMath>
      <w:r>
        <w:rPr>
          <w:rFonts w:asciiTheme="majorEastAsia" w:eastAsiaTheme="majorEastAsia" w:hAnsiTheme="majorEastAsia" w:cs="Segoe UI"/>
          <w:color w:val="404040"/>
          <w:sz w:val="24"/>
        </w:rPr>
        <w:t>”表示药物节点。</w:t>
      </w:r>
    </w:p>
    <w:p w14:paraId="334FC3B3" w14:textId="77777777" w:rsidR="00B40C2D" w:rsidRDefault="00000000">
      <w:pPr>
        <w:pStyle w:val="3"/>
        <w:rPr>
          <w:rFonts w:asciiTheme="majorEastAsia" w:eastAsiaTheme="majorEastAsia" w:hAnsiTheme="majorEastAsia" w:cs="Segoe UI" w:hint="eastAsia"/>
          <w:color w:val="404040"/>
          <w:sz w:val="28"/>
          <w:szCs w:val="28"/>
        </w:rPr>
      </w:pPr>
      <w:r>
        <w:rPr>
          <w:rFonts w:asciiTheme="majorEastAsia" w:eastAsiaTheme="majorEastAsia" w:hAnsiTheme="majorEastAsia" w:cs="Segoe UI" w:hint="eastAsia"/>
          <w:color w:val="404040"/>
          <w:sz w:val="28"/>
          <w:szCs w:val="28"/>
        </w:rPr>
        <w:t>circRNA-</w:t>
      </w:r>
      <w:r>
        <w:rPr>
          <w:rFonts w:asciiTheme="majorEastAsia" w:eastAsiaTheme="majorEastAsia" w:hAnsiTheme="majorEastAsia" w:cs="Segoe UI"/>
          <w:color w:val="404040"/>
          <w:sz w:val="28"/>
          <w:szCs w:val="28"/>
        </w:rPr>
        <w:t>miRN</w:t>
      </w:r>
      <w:r>
        <w:rPr>
          <w:rFonts w:asciiTheme="majorEastAsia" w:eastAsiaTheme="majorEastAsia" w:hAnsiTheme="majorEastAsia" w:cs="Segoe UI" w:hint="eastAsia"/>
          <w:color w:val="404040"/>
          <w:sz w:val="28"/>
          <w:szCs w:val="28"/>
        </w:rPr>
        <w:t>A</w:t>
      </w:r>
      <w:r>
        <w:rPr>
          <w:rFonts w:asciiTheme="majorEastAsia" w:eastAsiaTheme="majorEastAsia" w:hAnsiTheme="majorEastAsia" w:cs="Segoe UI"/>
          <w:color w:val="404040"/>
          <w:sz w:val="28"/>
          <w:szCs w:val="28"/>
        </w:rPr>
        <w:t xml:space="preserve"> association network and subcellular localizations of m</w:t>
      </w:r>
      <w:r>
        <w:rPr>
          <w:rFonts w:asciiTheme="majorEastAsia" w:eastAsiaTheme="majorEastAsia" w:hAnsiTheme="majorEastAsia" w:cs="Segoe UI" w:hint="eastAsia"/>
          <w:color w:val="404040"/>
          <w:sz w:val="28"/>
          <w:szCs w:val="28"/>
        </w:rPr>
        <w:t>i</w:t>
      </w:r>
      <w:r>
        <w:rPr>
          <w:rFonts w:asciiTheme="majorEastAsia" w:eastAsiaTheme="majorEastAsia" w:hAnsiTheme="majorEastAsia" w:cs="Segoe UI"/>
          <w:color w:val="404040"/>
          <w:sz w:val="28"/>
          <w:szCs w:val="28"/>
        </w:rPr>
        <w:t>RNAs</w:t>
      </w:r>
    </w:p>
    <w:p w14:paraId="16138B11"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miRNA（microRNA）是一类研究较为深入的非编码RNA，其亚细胞定位信息已被系统性地揭示。近年来，circRNA与miRNA之间的特异性调控关系也逐渐被研究所揭示。已有研究表明，circRNA可通过吸附miRNA的方式调节其对靶基因的调控功能，即充当“miRNA海绵”，从而阻断miRNA对下游靶基因的抑制作用</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_Ref199008618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这一机制进一步揭示了circRNA与miRNA在功能层面上的紧密关联</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_Ref199008699 \r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_Ref199008700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_Ref199008701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p>
    <w:p w14:paraId="06CAB7E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基于此生物学背景，本研究引入circRNA–miRNA之间的相互作用信息以及miRNA的亚细胞定位数据，以此辅助构建更具生物学解释力的circRNA亚细胞定位分类器。我们从circBank数据库中提取了circRNA–miRNA关联信息，并筛选出与本研究数据集中的circRNA存在交集的记录，最终获得包含620个circRNA和1781个miRNA的有效关联对</w:t>
      </w:r>
      <w:r>
        <w:rPr>
          <w:rFonts w:asciiTheme="majorEastAsia" w:eastAsiaTheme="majorEastAsia" w:hAnsiTheme="majorEastAsia" w:cs="Segoe UI" w:hint="eastAsia"/>
          <w:color w:val="404040"/>
          <w:sz w:val="24"/>
        </w:rPr>
        <w:t>。</w:t>
      </w:r>
    </w:p>
    <w:p w14:paraId="29FE29FB"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随后，我们构建了circRNA–miRNA异构关联网络。该网络中，circRNA节点之间的边依然依照前述</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网络的方法基于序列相似性建立；miRNA节点则作为新的节点类型加入网络，circRNA与miRNA之间的边由两者的关联关系决定。为便于后续叙述，我们将该网络记为</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ci</m:t>
            </m:r>
            <m:r>
              <w:rPr>
                <w:rFonts w:ascii="Cambria Math" w:eastAsiaTheme="majorEastAsia" w:hAnsi="Cambria Math" w:cs="Segoe UI"/>
                <w:color w:val="404040"/>
                <w:sz w:val="24"/>
              </w:rPr>
              <m:t>-</m:t>
            </m:r>
            <m:r>
              <w:rPr>
                <w:rFonts w:ascii="Cambria Math" w:eastAsiaTheme="majorEastAsia" w:hAnsi="Cambria Math" w:cs="Segoe UI" w:hint="eastAsia"/>
                <w:color w:val="404040"/>
                <w:sz w:val="24"/>
              </w:rPr>
              <m:t>mi</m:t>
            </m:r>
          </m:sub>
        </m:sSub>
      </m:oMath>
      <w:r>
        <w:rPr>
          <w:rFonts w:asciiTheme="majorEastAsia" w:eastAsiaTheme="majorEastAsia" w:hAnsiTheme="majorEastAsia" w:cs="Segoe UI"/>
          <w:color w:val="404040"/>
          <w:sz w:val="24"/>
        </w:rPr>
        <w:t>，其中“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”代表circRNA节点，“</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m</m:t>
            </m:r>
          </m:e>
          <m:sub>
            <m:r>
              <w:rPr>
                <w:rFonts w:ascii="Cambria Math" w:eastAsiaTheme="majorEastAsia" w:hAnsi="Cambria Math" w:cs="Segoe UI"/>
                <w:color w:val="404040"/>
                <w:sz w:val="24"/>
              </w:rPr>
              <m:t>i</m:t>
            </m:r>
          </m:sub>
        </m:sSub>
      </m:oMath>
      <w:r>
        <w:rPr>
          <w:rFonts w:asciiTheme="majorEastAsia" w:eastAsiaTheme="majorEastAsia" w:hAnsiTheme="majorEastAsia" w:cs="Segoe UI"/>
          <w:color w:val="404040"/>
          <w:sz w:val="24"/>
        </w:rPr>
        <w:t>”代表miRNA节点。</w:t>
      </w:r>
    </w:p>
    <w:p w14:paraId="169D4ED7"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了网络拓扑结构外，我们还引入了miRNA的亚细胞定位信息，作为分类器输入特征的一部分，用以进一步提升预测性能。1781个miRNA的定位信息来自RNALocate数据库，涵盖七种亚细胞定位类别：Cytoplasm、Exomere、Extracellular exosome、Extracellular vesicle、Microvesicle、Mitochondrion 以及 Supermere。每类定位均包含不少于50个miRNA，部分miRNA具有多个亚细胞定位，形成了具有重叠关系的子集结构。</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_Ref199358276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展示了这七种亚细胞定位之间的交集情况，揭示了miRNA在细胞不同</w:t>
      </w:r>
      <w:proofErr w:type="gramStart"/>
      <w:r>
        <w:rPr>
          <w:rFonts w:asciiTheme="majorEastAsia" w:eastAsiaTheme="majorEastAsia" w:hAnsiTheme="majorEastAsia" w:cs="Segoe UI"/>
          <w:color w:val="404040"/>
          <w:sz w:val="24"/>
        </w:rPr>
        <w:t>亚结构</w:t>
      </w:r>
      <w:proofErr w:type="gramEnd"/>
      <w:r>
        <w:rPr>
          <w:rFonts w:asciiTheme="majorEastAsia" w:eastAsiaTheme="majorEastAsia" w:hAnsiTheme="majorEastAsia" w:cs="Segoe UI"/>
          <w:color w:val="404040"/>
          <w:sz w:val="24"/>
        </w:rPr>
        <w:t>中的多重分布特性。</w:t>
      </w:r>
    </w:p>
    <w:p w14:paraId="2BE63A9D"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综上所述，在本节中我们综合利用了多种类型的circRNA特征信息来构建分类模型，具体包括三个异构关联网络（</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_Ref199009890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1</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）、circRNA序列相似性网络、</w:t>
      </w:r>
      <w:proofErr w:type="gramStart"/>
      <w:r>
        <w:rPr>
          <w:rFonts w:asciiTheme="majorEastAsia" w:eastAsiaTheme="majorEastAsia" w:hAnsiTheme="majorEastAsia" w:cs="Segoe UI" w:hint="eastAsia"/>
          <w:color w:val="404040"/>
          <w:sz w:val="24"/>
        </w:rPr>
        <w:t>预训练</w:t>
      </w:r>
      <w:proofErr w:type="gramEnd"/>
      <w:r>
        <w:rPr>
          <w:rFonts w:asciiTheme="majorEastAsia" w:eastAsiaTheme="majorEastAsia" w:hAnsiTheme="majorEastAsia" w:cs="Segoe UI" w:hint="eastAsia"/>
          <w:color w:val="404040"/>
          <w:sz w:val="24"/>
        </w:rPr>
        <w:t>模型RNAErnie、</w:t>
      </w:r>
      <w:r>
        <w:rPr>
          <w:rFonts w:asciiTheme="majorEastAsia" w:eastAsiaTheme="majorEastAsia" w:hAnsiTheme="majorEastAsia" w:cs="Segoe UI"/>
          <w:color w:val="404040"/>
          <w:sz w:val="24"/>
        </w:rPr>
        <w:t>基于K-mer</w:t>
      </w:r>
      <w:r>
        <w:rPr>
          <w:rFonts w:asciiTheme="majorEastAsia" w:eastAsiaTheme="majorEastAsia" w:hAnsiTheme="majorEastAsia" w:cs="Segoe UI" w:hint="eastAsia"/>
          <w:color w:val="404040"/>
          <w:sz w:val="24"/>
        </w:rPr>
        <w:t>和RCK-mer</w:t>
      </w:r>
      <w:r>
        <w:rPr>
          <w:rFonts w:asciiTheme="majorEastAsia" w:eastAsiaTheme="majorEastAsia" w:hAnsiTheme="majorEastAsia" w:cs="Segoe UI"/>
          <w:color w:val="404040"/>
          <w:sz w:val="24"/>
        </w:rPr>
        <w:t>的序列特征表达，以及miRNA的亚细胞定位信息。该多模态信息融合策略有望进一步提升circRNA亚细胞定位的预测准确性和模型的泛化能力。</w:t>
      </w:r>
    </w:p>
    <w:p w14:paraId="3A636ED4"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07866938" wp14:editId="4A7F4E81">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139F9409" w14:textId="77777777" w:rsidR="00B40C2D" w:rsidRDefault="00000000">
      <w:pPr>
        <w:pStyle w:val="a3"/>
        <w:jc w:val="left"/>
        <w:rPr>
          <w:rFonts w:asciiTheme="majorEastAsia" w:eastAsiaTheme="majorEastAsia" w:hAnsiTheme="majorEastAsia" w:cs="Segoe UI" w:hint="eastAsia"/>
          <w:color w:val="404040"/>
          <w:sz w:val="24"/>
        </w:rPr>
      </w:pPr>
      <w:bookmarkStart w:id="6" w:name="_Ref199358276"/>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4</w:t>
      </w:r>
      <w:r>
        <w:rPr>
          <w:rFonts w:asciiTheme="majorEastAsia" w:eastAsiaTheme="majorEastAsia" w:hAnsiTheme="majorEastAsia"/>
        </w:rPr>
        <w:fldChar w:fldCharType="end"/>
      </w:r>
      <w:bookmarkEnd w:id="6"/>
      <w:r>
        <w:rPr>
          <w:rFonts w:asciiTheme="majorEastAsia" w:eastAsiaTheme="majorEastAsia" w:hAnsiTheme="majorEastAsia" w:hint="eastAsia"/>
        </w:rPr>
        <w:t>. miRNA定位信息</w:t>
      </w:r>
    </w:p>
    <w:p w14:paraId="6BFEC8A7"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tbl>
      <w:tblPr>
        <w:tblStyle w:val="ae"/>
        <w:tblW w:w="0" w:type="auto"/>
        <w:tblLook w:val="04A0" w:firstRow="1" w:lastRow="0" w:firstColumn="1" w:lastColumn="0" w:noHBand="0" w:noVBand="1"/>
      </w:tblPr>
      <w:tblGrid>
        <w:gridCol w:w="2130"/>
        <w:gridCol w:w="2130"/>
        <w:gridCol w:w="2131"/>
        <w:gridCol w:w="2131"/>
      </w:tblGrid>
      <w:tr w:rsidR="00B40C2D" w14:paraId="55D5E056" w14:textId="77777777" w:rsidTr="00B40C2D">
        <w:trPr>
          <w:cnfStyle w:val="100000000000" w:firstRow="1" w:lastRow="0" w:firstColumn="0" w:lastColumn="0" w:oddVBand="0" w:evenVBand="0" w:oddHBand="0" w:evenHBand="0" w:firstRowFirstColumn="0" w:firstRowLastColumn="0" w:lastRowFirstColumn="0" w:lastRowLastColumn="0"/>
        </w:trPr>
        <w:tc>
          <w:tcPr>
            <w:tcW w:w="2130" w:type="dxa"/>
          </w:tcPr>
          <w:p w14:paraId="28648F07"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hint="eastAsia"/>
                <w:color w:val="404040"/>
                <w:sz w:val="22"/>
                <w:szCs w:val="22"/>
              </w:rPr>
              <w:t>Association network</w:t>
            </w:r>
          </w:p>
        </w:tc>
        <w:tc>
          <w:tcPr>
            <w:tcW w:w="2130" w:type="dxa"/>
          </w:tcPr>
          <w:p w14:paraId="34CFC9CC"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 xml:space="preserve">Number of </w:t>
            </w:r>
            <w:r>
              <w:rPr>
                <w:rFonts w:asciiTheme="majorEastAsia" w:eastAsiaTheme="majorEastAsia" w:hAnsiTheme="majorEastAsia" w:cs="Segoe UI" w:hint="eastAsia"/>
                <w:color w:val="404040"/>
                <w:sz w:val="22"/>
                <w:szCs w:val="22"/>
              </w:rPr>
              <w:t>circ</w:t>
            </w:r>
            <w:r>
              <w:rPr>
                <w:rFonts w:asciiTheme="majorEastAsia" w:eastAsiaTheme="majorEastAsia" w:hAnsiTheme="majorEastAsia" w:cs="Segoe UI"/>
                <w:color w:val="404040"/>
                <w:sz w:val="22"/>
                <w:szCs w:val="22"/>
              </w:rPr>
              <w:t>RNAs</w:t>
            </w:r>
          </w:p>
        </w:tc>
        <w:tc>
          <w:tcPr>
            <w:tcW w:w="2131" w:type="dxa"/>
          </w:tcPr>
          <w:p w14:paraId="227D712D"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Number of other objects</w:t>
            </w:r>
          </w:p>
        </w:tc>
        <w:tc>
          <w:tcPr>
            <w:tcW w:w="2131" w:type="dxa"/>
          </w:tcPr>
          <w:p w14:paraId="416B8B90" w14:textId="77777777" w:rsidR="00B40C2D" w:rsidRDefault="00000000">
            <w:pPr>
              <w:widowControl/>
              <w:jc w:val="left"/>
              <w:rPr>
                <w:rFonts w:asciiTheme="majorEastAsia" w:eastAsiaTheme="majorEastAsia" w:hAnsiTheme="majorEastAsia" w:cs="Segoe UI" w:hint="eastAsia"/>
                <w:color w:val="404040"/>
                <w:sz w:val="22"/>
                <w:szCs w:val="22"/>
              </w:rPr>
            </w:pPr>
            <w:r>
              <w:rPr>
                <w:rFonts w:asciiTheme="majorEastAsia" w:eastAsiaTheme="majorEastAsia" w:hAnsiTheme="majorEastAsia" w:cs="Segoe UI"/>
                <w:color w:val="404040"/>
                <w:sz w:val="22"/>
                <w:szCs w:val="22"/>
              </w:rPr>
              <w:t>Number of associations</w:t>
            </w:r>
          </w:p>
        </w:tc>
      </w:tr>
      <w:tr w:rsidR="00B40C2D" w14:paraId="29C4751C" w14:textId="77777777" w:rsidTr="00B40C2D">
        <w:tc>
          <w:tcPr>
            <w:tcW w:w="2130" w:type="dxa"/>
          </w:tcPr>
          <w:p w14:paraId="090C38F5"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circRNA-disease</w:t>
            </w:r>
          </w:p>
        </w:tc>
        <w:tc>
          <w:tcPr>
            <w:tcW w:w="2130" w:type="dxa"/>
          </w:tcPr>
          <w:p w14:paraId="34F1D031"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337</w:t>
            </w:r>
          </w:p>
        </w:tc>
        <w:tc>
          <w:tcPr>
            <w:tcW w:w="2131" w:type="dxa"/>
          </w:tcPr>
          <w:p w14:paraId="3BCCC2B0"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166</w:t>
            </w:r>
          </w:p>
        </w:tc>
        <w:tc>
          <w:tcPr>
            <w:tcW w:w="2131" w:type="dxa"/>
          </w:tcPr>
          <w:p w14:paraId="3955C071"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1006</w:t>
            </w:r>
          </w:p>
        </w:tc>
      </w:tr>
      <w:tr w:rsidR="00B40C2D" w14:paraId="109F8AAD" w14:textId="77777777" w:rsidTr="00B40C2D">
        <w:tc>
          <w:tcPr>
            <w:tcW w:w="2130" w:type="dxa"/>
          </w:tcPr>
          <w:p w14:paraId="70CD86A4"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circRNA-durg</w:t>
            </w:r>
          </w:p>
        </w:tc>
        <w:tc>
          <w:tcPr>
            <w:tcW w:w="2130" w:type="dxa"/>
          </w:tcPr>
          <w:p w14:paraId="17B328C2"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64</w:t>
            </w:r>
          </w:p>
        </w:tc>
        <w:tc>
          <w:tcPr>
            <w:tcW w:w="2131" w:type="dxa"/>
          </w:tcPr>
          <w:p w14:paraId="4F2F5299"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217</w:t>
            </w:r>
          </w:p>
        </w:tc>
        <w:tc>
          <w:tcPr>
            <w:tcW w:w="2131" w:type="dxa"/>
          </w:tcPr>
          <w:p w14:paraId="6580934B"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850</w:t>
            </w:r>
          </w:p>
        </w:tc>
      </w:tr>
      <w:tr w:rsidR="00B40C2D" w14:paraId="2DABD6A9" w14:textId="77777777" w:rsidTr="00B40C2D">
        <w:tc>
          <w:tcPr>
            <w:tcW w:w="2130" w:type="dxa"/>
          </w:tcPr>
          <w:p w14:paraId="5397CDF0"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circRNA-miRNA</w:t>
            </w:r>
          </w:p>
        </w:tc>
        <w:tc>
          <w:tcPr>
            <w:tcW w:w="2130" w:type="dxa"/>
          </w:tcPr>
          <w:p w14:paraId="01C447C8"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620</w:t>
            </w:r>
          </w:p>
        </w:tc>
        <w:tc>
          <w:tcPr>
            <w:tcW w:w="2131" w:type="dxa"/>
          </w:tcPr>
          <w:p w14:paraId="62028418"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1781</w:t>
            </w:r>
          </w:p>
        </w:tc>
        <w:tc>
          <w:tcPr>
            <w:tcW w:w="2131" w:type="dxa"/>
          </w:tcPr>
          <w:p w14:paraId="15926EA8" w14:textId="77777777" w:rsidR="00B40C2D" w:rsidRDefault="00000000">
            <w:pPr>
              <w:keepNext/>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6893</w:t>
            </w:r>
          </w:p>
        </w:tc>
      </w:tr>
    </w:tbl>
    <w:p w14:paraId="3456CAA4" w14:textId="06B42960" w:rsidR="00B40C2D" w:rsidRDefault="00000000">
      <w:pPr>
        <w:pStyle w:val="a3"/>
        <w:rPr>
          <w:rFonts w:asciiTheme="majorEastAsia" w:eastAsiaTheme="majorEastAsia" w:hAnsiTheme="majorEastAsia" w:cs="Segoe UI" w:hint="eastAsia"/>
          <w:color w:val="404040"/>
          <w:sz w:val="24"/>
        </w:rPr>
      </w:pPr>
      <w:bookmarkStart w:id="7" w:name="_Ref199009890"/>
      <w:bookmarkStart w:id="8" w:name="_Ref199009882"/>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1</w:t>
      </w:r>
      <w:r w:rsidR="008F5276">
        <w:rPr>
          <w:rFonts w:asciiTheme="majorEastAsia" w:eastAsiaTheme="majorEastAsia" w:hAnsiTheme="majorEastAsia" w:hint="eastAsia"/>
        </w:rPr>
        <w:fldChar w:fldCharType="end"/>
      </w:r>
      <w:bookmarkEnd w:id="7"/>
      <w:r>
        <w:rPr>
          <w:rFonts w:asciiTheme="majorEastAsia" w:eastAsiaTheme="majorEastAsia" w:hAnsiTheme="majorEastAsia" w:hint="eastAsia"/>
        </w:rPr>
        <w:t xml:space="preserve">.  </w:t>
      </w:r>
      <w:r>
        <w:rPr>
          <w:rFonts w:asciiTheme="majorEastAsia" w:eastAsiaTheme="majorEastAsia" w:hAnsiTheme="majorEastAsia"/>
        </w:rPr>
        <w:t xml:space="preserve">Overview of three association networks for </w:t>
      </w:r>
      <w:r>
        <w:rPr>
          <w:rFonts w:asciiTheme="majorEastAsia" w:eastAsiaTheme="majorEastAsia" w:hAnsiTheme="majorEastAsia" w:hint="eastAsia"/>
        </w:rPr>
        <w:t>c</w:t>
      </w:r>
      <w:r>
        <w:rPr>
          <w:rFonts w:asciiTheme="majorEastAsia" w:eastAsiaTheme="majorEastAsia" w:hAnsiTheme="majorEastAsia"/>
        </w:rPr>
        <w:t>i</w:t>
      </w:r>
      <w:r>
        <w:rPr>
          <w:rFonts w:asciiTheme="majorEastAsia" w:eastAsiaTheme="majorEastAsia" w:hAnsiTheme="majorEastAsia" w:hint="eastAsia"/>
        </w:rPr>
        <w:t>rc</w:t>
      </w:r>
      <w:r>
        <w:rPr>
          <w:rFonts w:asciiTheme="majorEastAsia" w:eastAsiaTheme="majorEastAsia" w:hAnsiTheme="majorEastAsia"/>
        </w:rPr>
        <w:t>RNAs in dataset S.</w:t>
      </w:r>
      <w:bookmarkEnd w:id="8"/>
    </w:p>
    <w:p w14:paraId="00A8C6BB" w14:textId="77777777" w:rsidR="00B40C2D" w:rsidRDefault="00000000">
      <w:pPr>
        <w:pStyle w:val="2"/>
        <w:rPr>
          <w:rFonts w:asciiTheme="majorEastAsia" w:hAnsiTheme="majorEastAsia" w:cs="Segoe UI" w:hint="eastAsia"/>
          <w:color w:val="404040"/>
          <w:sz w:val="40"/>
          <w:szCs w:val="48"/>
        </w:rPr>
      </w:pPr>
      <w:r>
        <w:rPr>
          <w:rFonts w:asciiTheme="majorEastAsia" w:hAnsiTheme="majorEastAsia" w:cs="Segoe UI" w:hint="eastAsia"/>
          <w:color w:val="404040"/>
          <w:sz w:val="28"/>
          <w:szCs w:val="36"/>
        </w:rPr>
        <w:t>circRNA多源特性特征</w:t>
      </w:r>
    </w:p>
    <w:p w14:paraId="65DC9C8B" w14:textId="77777777" w:rsidR="00B40C2D" w:rsidRDefault="00000000">
      <w:pPr>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circRNA的几个特性在 circRNA的多源特性部分介绍。如何将它们完美地融合到分类器中是一个具有挑战性的问题。本研究中采用了下面这些现有或新设计的方法来解决这些特性。在此方法的帮助下获得了信息丰富的circRNA特征。</w:t>
      </w:r>
    </w:p>
    <w:p w14:paraId="5B6E6B92" w14:textId="77777777" w:rsidR="00B40C2D" w:rsidRDefault="00000000">
      <w:pPr>
        <w:pStyle w:val="3"/>
        <w:rPr>
          <w:rFonts w:asciiTheme="majorEastAsia" w:eastAsiaTheme="majorEastAsia" w:hAnsiTheme="majorEastAsia" w:cs="Segoe UI" w:hint="eastAsia"/>
          <w:color w:val="404040"/>
          <w:sz w:val="24"/>
          <w:szCs w:val="24"/>
        </w:rPr>
      </w:pPr>
      <w:r>
        <w:rPr>
          <w:rFonts w:asciiTheme="majorEastAsia" w:eastAsiaTheme="majorEastAsia" w:hAnsiTheme="majorEastAsia" w:cs="Segoe UI"/>
          <w:color w:val="404040"/>
          <w:sz w:val="24"/>
          <w:szCs w:val="24"/>
        </w:rPr>
        <w:t>N</w:t>
      </w:r>
      <w:r>
        <w:rPr>
          <w:rFonts w:asciiTheme="majorEastAsia" w:eastAsiaTheme="majorEastAsia" w:hAnsiTheme="majorEastAsia" w:cs="Segoe UI" w:hint="eastAsia"/>
          <w:color w:val="404040"/>
          <w:sz w:val="24"/>
          <w:szCs w:val="24"/>
        </w:rPr>
        <w:t>ode2vec生成的特征</w:t>
      </w:r>
    </w:p>
    <w:p w14:paraId="362194A2"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节点嵌入特征已成为近年来处理网络类数据问题的一种主流方法。本研究中使用的三类miRNA关联网络、miRNA序列相似性网络及功能相似</w:t>
      </w:r>
      <w:proofErr w:type="gramStart"/>
      <w:r>
        <w:rPr>
          <w:rFonts w:asciiTheme="majorEastAsia" w:eastAsiaTheme="majorEastAsia" w:hAnsiTheme="majorEastAsia" w:cs="Segoe UI"/>
          <w:color w:val="404040"/>
          <w:sz w:val="24"/>
        </w:rPr>
        <w:t>性网络</w:t>
      </w:r>
      <w:proofErr w:type="gramEnd"/>
      <w:r>
        <w:rPr>
          <w:rFonts w:asciiTheme="majorEastAsia" w:eastAsiaTheme="majorEastAsia" w:hAnsiTheme="majorEastAsia" w:cs="Segoe UI"/>
          <w:color w:val="404040"/>
          <w:sz w:val="24"/>
        </w:rPr>
        <w:t>均属于此类非欧几里得结构数据。为有效处理此类数据，近年来提出了多种高效的</w:t>
      </w:r>
      <w:proofErr w:type="gramStart"/>
      <w:r>
        <w:rPr>
          <w:rFonts w:asciiTheme="majorEastAsia" w:eastAsiaTheme="majorEastAsia" w:hAnsiTheme="majorEastAsia" w:cs="Segoe UI"/>
          <w:color w:val="404040"/>
          <w:sz w:val="24"/>
        </w:rPr>
        <w:t>图结构</w:t>
      </w:r>
      <w:proofErr w:type="gramEnd"/>
      <w:r>
        <w:rPr>
          <w:rFonts w:asciiTheme="majorEastAsia" w:eastAsiaTheme="majorEastAsia" w:hAnsiTheme="majorEastAsia" w:cs="Segoe UI"/>
          <w:color w:val="404040"/>
          <w:sz w:val="24"/>
        </w:rPr>
        <w:t>建模方法，其中，网络嵌入算法是一类核心技术，它能够将图中每一个节点映射为低维数值向量，从而便于后续的特征融合与模型训练。</w:t>
      </w:r>
    </w:p>
    <w:p w14:paraId="414FE777"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在众多网络嵌入方法中，node2vec是目前应用最广泛的算法之一</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_Ref199334051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该方法通过灵活的随机游走策略在保持网络结构信息的同时提升嵌入的表达能力.在本研究中，我们使用node2vec对多个circRNA网络进行编码，从而提取circRNA的结构化特征信息。具体而言，我们从circRNA序列相似性网络(</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)中</w:t>
      </w:r>
      <w:r>
        <w:rPr>
          <w:rFonts w:asciiTheme="majorEastAsia" w:eastAsiaTheme="majorEastAsia" w:hAnsiTheme="majorEastAsia" w:cs="Segoe UI"/>
          <w:color w:val="404040"/>
          <w:sz w:val="24"/>
        </w:rPr>
        <w:lastRenderedPageBreak/>
        <w:t>提取了每个circRNA的64维嵌入向量；同时，在circRNA–disease、miRNA–drug和circRNA–miRNA三类关联网络中，分别为每个circRNA生成了128维的嵌入表示。该多源嵌入特征不仅保留了不同网络结构中的局部与全局信息，也为后续模型提供了更具判别力的表示基础。</w:t>
      </w:r>
    </w:p>
    <w:p w14:paraId="316F8730" w14:textId="77777777" w:rsidR="00B40C2D" w:rsidRDefault="00000000">
      <w:pPr>
        <w:pStyle w:val="3"/>
        <w:rPr>
          <w:rFonts w:asciiTheme="majorEastAsia" w:eastAsiaTheme="majorEastAsia" w:hAnsiTheme="majorEastAsia" w:cs="Segoe UI" w:hint="eastAsia"/>
          <w:color w:val="404040"/>
          <w:sz w:val="24"/>
          <w:szCs w:val="24"/>
        </w:rPr>
      </w:pPr>
      <w:r>
        <w:rPr>
          <w:rFonts w:asciiTheme="majorEastAsia" w:eastAsiaTheme="majorEastAsia" w:hAnsiTheme="majorEastAsia" w:cs="Segoe UI"/>
          <w:color w:val="404040"/>
          <w:sz w:val="24"/>
          <w:szCs w:val="24"/>
        </w:rPr>
        <w:t>Features yielded by GATE</w:t>
      </w:r>
    </w:p>
    <w:p w14:paraId="1EA216CE"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除了传统的网络嵌入算法外，图卷积网络(Graph Convolutional Network, GCN)</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_Ref199334755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也是当前处理网络数据的重要方法之一。GCN能够综合节点的原始表示与其邻居节点的信息，学习出更具表达力的节点嵌入表示。在本研究中，我们采用了一种特殊的GCN变体——GATE(Graph Auto-Encoder)</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_Ref199334791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，用于提取miRNA的高级语义特征。</w:t>
      </w:r>
    </w:p>
    <w:p w14:paraId="4B51928F"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GATE模型包含编码器（encoder）与解码器（decoder）两个核心模块。其中，编码器在聚合节点邻居信息的基础上更新节点的表示；而解码器则试图尽可能准确地重建每个节点的原始表示，从而实现对网络结构和节点特性的双重建模</w:t>
      </w:r>
      <w:r>
        <w:rPr>
          <w:rFonts w:asciiTheme="majorEastAsia" w:eastAsiaTheme="majorEastAsia" w:hAnsiTheme="majorEastAsia" w:cs="Segoe UI" w:hint="eastAsia"/>
          <w:color w:val="404040"/>
          <w:sz w:val="24"/>
        </w:rPr>
        <w:t>。</w:t>
      </w:r>
    </w:p>
    <w:p w14:paraId="13705ADC"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在本研究中，我们将通过node2vec从</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以及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RNA三类关联网络中获得的原始</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RNA表示作为输入，进一步输入至GATE模型以获得更高层次的特征表达。同时，我们还将</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序列</w:t>
      </w:r>
      <w:r>
        <w:rPr>
          <w:rFonts w:asciiTheme="majorEastAsia" w:eastAsiaTheme="majorEastAsia" w:hAnsiTheme="majorEastAsia" w:cs="Segoe UI"/>
          <w:color w:val="404040"/>
          <w:sz w:val="24"/>
        </w:rPr>
        <w:t>相似性网络</w:t>
      </w:r>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N</m:t>
            </m:r>
          </m:e>
          <m:sub>
            <m:r>
              <w:rPr>
                <w:rFonts w:ascii="Cambria Math" w:eastAsiaTheme="majorEastAsia" w:hAnsi="Cambria Math" w:cs="Segoe UI" w:hint="eastAsia"/>
                <w:color w:val="404040"/>
                <w:sz w:val="24"/>
              </w:rPr>
              <m:t>s</m:t>
            </m:r>
          </m:sub>
        </m:sSub>
      </m:oMath>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引入GATE中，以进一步增强模型的语义理解能力。</w:t>
      </w:r>
    </w:p>
    <w:p w14:paraId="585A5468"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最终，GATE模型为每个</w:t>
      </w:r>
      <w:r>
        <w:rPr>
          <w:rFonts w:asciiTheme="majorEastAsia" w:eastAsiaTheme="majorEastAsia" w:hAnsiTheme="majorEastAsia" w:cs="Segoe UI" w:hint="eastAsia"/>
          <w:color w:val="404040"/>
          <w:sz w:val="24"/>
        </w:rPr>
        <w:t>circRNA</w:t>
      </w:r>
      <w:r>
        <w:rPr>
          <w:rFonts w:asciiTheme="majorEastAsia" w:eastAsiaTheme="majorEastAsia" w:hAnsiTheme="majorEastAsia" w:cs="Segoe UI"/>
          <w:color w:val="404040"/>
          <w:sz w:val="24"/>
        </w:rPr>
        <w:t>节点生成了三组128维的高层特征向量，分别对应于</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以及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RNA三种关联网络。这些高级嵌入特征在保留原始网络结构信息的基础上，进一步提升了特征的表达能力与判别性能，为后续的分类任务提供了坚实的数据基础。</w:t>
      </w:r>
    </w:p>
    <w:p w14:paraId="1C64F340" w14:textId="77777777" w:rsidR="00B40C2D" w:rsidRDefault="00000000">
      <w:pPr>
        <w:pStyle w:val="3"/>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 xml:space="preserve">Features derived from </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 association network and subcellular localizations of 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RNAs</w:t>
      </w:r>
    </w:p>
    <w:p w14:paraId="67D48D14"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在Susovan Sadhukhan等人的研究中，他们通过“海绵”机制验证了circRNA与miRNA在亚细胞上存在共同定位。在这里，我们设计了一个方案从circRNA-miRNA关联和miRNA亚细胞定位中提取基本特征。</w:t>
      </w:r>
    </w:p>
    <w:p w14:paraId="60352642"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给定一个</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color w:val="404040"/>
                <w:sz w:val="24"/>
              </w:rPr>
              <m:t>circRNA</m:t>
            </m:r>
          </m:e>
          <m:sub>
            <m:r>
              <m:rPr>
                <m:sty m:val="p"/>
              </m:rP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，它的相关miRNA可以从circRNA-miRNA关联网络中提取，即该网络中</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的邻居，他们构成miRNA集合，使用</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表示。如上述circRNA-miRNA关联网络和miRNA的亚细胞定位部分所述，这些miRNA所属七个亚细胞定位：</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Exomere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Extracellular exosome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Extracellular vesicle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Microvesicle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Mitochondrion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Supermere</w:t>
      </w:r>
      <w:r>
        <w:rPr>
          <w:rFonts w:asciiTheme="majorEastAsia" w:eastAsiaTheme="majorEastAsia" w:hAnsiTheme="majorEastAsia" w:cs="Segoe UI" w:hint="eastAsia"/>
          <w:color w:val="404040"/>
          <w:sz w:val="24"/>
        </w:rPr>
        <w:t>。分别标记为：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w:r>
        <w:rPr>
          <w:rFonts w:asciiTheme="majorEastAsia" w:eastAsiaTheme="majorEastAsia" w:hAnsiTheme="majorEastAsia" w:cs="Segoe UI"/>
          <w:i/>
          <w:color w:val="404040"/>
          <w:sz w:val="24"/>
        </w:rPr>
        <w:t xml:space="preserve"> </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iCs/>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。其中</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oMath>
      <w:r>
        <w:rPr>
          <w:rFonts w:asciiTheme="majorEastAsia" w:eastAsiaTheme="majorEastAsia" w:hAnsiTheme="majorEastAsia" w:cs="Segoe UI" w:hint="eastAsia"/>
          <w:color w:val="404040"/>
          <w:sz w:val="24"/>
        </w:rPr>
        <w:t>包含了</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中具有亚细胞定位在</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的miRNA，其余的集合定义方式与它类似。但是如果一个集合的miRNA数量远远大于其他的集合，则</w:t>
      </w:r>
      <m:oMath>
        <m:sSub>
          <m:sSubPr>
            <m:ctrlPr>
              <w:rPr>
                <w:rFonts w:ascii="Cambria Math" w:eastAsiaTheme="majorEastAsia" w:hAnsi="Cambria Math" w:cs="Segoe UI"/>
                <w:i/>
                <w:color w:val="404040"/>
                <w:sz w:val="24"/>
              </w:rPr>
            </m:ctrlPr>
          </m:sSubPr>
          <m:e>
            <m:r>
              <w:rPr>
                <w:rFonts w:ascii="Cambria Math" w:eastAsiaTheme="majorEastAsia" w:hAnsi="Cambria Math" w:cs="Segoe UI" w:hint="eastAsia"/>
                <w:color w:val="404040"/>
                <w:sz w:val="24"/>
              </w:rPr>
              <m:t>c</m:t>
            </m:r>
          </m:e>
          <m:sub>
            <m:r>
              <w:rPr>
                <w:rFonts w:ascii="Cambria Math" w:eastAsiaTheme="majorEastAsia" w:hAnsi="Cambria Math" w:cs="Segoe UI"/>
                <w:color w:val="404040"/>
                <w:sz w:val="24"/>
              </w:rPr>
              <m:t>i</m:t>
            </m:r>
          </m:sub>
        </m:sSub>
      </m:oMath>
      <w:r>
        <w:rPr>
          <w:rFonts w:asciiTheme="majorEastAsia" w:eastAsiaTheme="majorEastAsia" w:hAnsiTheme="majorEastAsia" w:cs="Segoe UI" w:hint="eastAsia"/>
          <w:color w:val="404040"/>
          <w:sz w:val="24"/>
        </w:rPr>
        <w:t>具有相应的亚细胞定位概率也会对应上升，所以直接使用上述的集合并不是一种完美的方式，在</w:t>
      </w:r>
      <w:r>
        <w:rPr>
          <w:rFonts w:asciiTheme="majorEastAsia" w:eastAsiaTheme="majorEastAsia" w:hAnsiTheme="majorEastAsia" w:cs="Segoe UI" w:hint="eastAsia"/>
          <w:color w:val="404040"/>
          <w:sz w:val="24"/>
        </w:rPr>
        <w:lastRenderedPageBreak/>
        <w:t>本研究中我们将上述集合进一步处理，将结果限制在0-1之间，这会更加适合表示</w:t>
      </w:r>
      <m:oMath>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ci</m:t>
            </m:r>
            <m:r>
              <m:rPr>
                <m:sty m:val="p"/>
              </m:rPr>
              <w:rPr>
                <w:rFonts w:ascii="Cambria Math" w:eastAsiaTheme="majorEastAsia" w:hAnsi="Cambria Math" w:cs="Segoe UI"/>
                <w:color w:val="404040"/>
                <w:sz w:val="24"/>
              </w:rPr>
              <m:t>rcRNA</m:t>
            </m:r>
          </m:e>
          <m:sub>
            <m:r>
              <w:rPr>
                <w:rFonts w:ascii="Cambria Math" w:eastAsiaTheme="majorEastAsia" w:hAnsi="Cambria Math" w:cs="Segoe UI"/>
                <w:color w:val="404040"/>
                <w:sz w:val="24"/>
              </w:rPr>
              <m:t>ci</m:t>
            </m:r>
          </m:sub>
        </m:sSub>
      </m:oMath>
      <w:r>
        <w:rPr>
          <w:rFonts w:asciiTheme="majorEastAsia" w:eastAsiaTheme="majorEastAsia" w:hAnsiTheme="majorEastAsia" w:cs="Segoe UI" w:hint="eastAsia"/>
          <w:color w:val="404040"/>
          <w:sz w:val="24"/>
        </w:rPr>
        <w:t>，我们按照下面方法处理集合：</w:t>
      </w:r>
    </w:p>
    <w:p w14:paraId="7209A4B0"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p w14:paraId="76FFF7A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m:oMath>
        <m:d>
          <m:dPr>
            <m:begChr m:val="{"/>
            <m:endChr m:val=""/>
            <m:ctrlPr>
              <w:rPr>
                <w:rFonts w:ascii="Cambria Math" w:eastAsiaTheme="majorEastAsia" w:hAnsi="Cambria Math" w:cs="Segoe UI"/>
                <w:i/>
                <w:color w:val="404040"/>
                <w:sz w:val="24"/>
              </w:rPr>
            </m:ctrlPr>
          </m:dPr>
          <m:e>
            <m:eqArr>
              <m:eqArrPr>
                <m:ctrlPr>
                  <w:rPr>
                    <w:rFonts w:ascii="Cambria Math" w:eastAsiaTheme="majorEastAsia" w:hAnsi="Cambria Math" w:cs="Segoe UI"/>
                    <w:i/>
                    <w:color w:val="404040"/>
                    <w:sz w:val="24"/>
                  </w:rPr>
                </m:ctrlPr>
              </m:eqArr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 xml:space="preserve">= </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Cytoplasm</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m:rPr>
                            <m:sty m:val="p"/>
                          </m:rPr>
                          <w:rPr>
                            <w:rFonts w:ascii="Cambria Math" w:eastAsiaTheme="majorEastAsia" w:hAnsi="Cambria Math" w:cs="Segoe UI" w:hint="eastAsia"/>
                            <w:color w:val="404040"/>
                            <w:sz w:val="24"/>
                          </w:rPr>
                          <m:t>，</m:t>
                        </m:r>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e>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R</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Segoe UI"/>
                    <w:color w:val="404040"/>
                    <w:sz w:val="24"/>
                  </w:rPr>
                  <m:t>=</m:t>
                </m:r>
                <m:f>
                  <m:fPr>
                    <m:ctrlPr>
                      <w:rPr>
                        <w:rFonts w:ascii="Cambria Math" w:eastAsiaTheme="majorEastAsia" w:hAnsi="Cambria Math" w:cs="Segoe UI"/>
                        <w:i/>
                        <w:color w:val="404040"/>
                        <w:sz w:val="24"/>
                      </w:rPr>
                    </m:ctrlPr>
                  </m:fPr>
                  <m:num>
                    <m:d>
                      <m:dPr>
                        <m:begChr m:val="|"/>
                        <m:endChr m:val="|"/>
                        <m:ctrlPr>
                          <w:rPr>
                            <w:rFonts w:ascii="Cambria Math" w:eastAsiaTheme="majorEastAsia" w:hAnsi="Cambria Math" w:cs="Segoe UI"/>
                            <w:i/>
                            <w:color w:val="404040"/>
                            <w:sz w:val="24"/>
                          </w:rPr>
                        </m:ctrlPr>
                      </m:dPr>
                      <m:e>
                        <m:sSub>
                          <m:sSubPr>
                            <m:ctrlPr>
                              <w:rPr>
                                <w:rFonts w:ascii="Cambria Math" w:eastAsiaTheme="majorEastAsia" w:hAnsi="Cambria Math" w:cs="Segoe UI"/>
                                <w:iCs/>
                                <w:color w:val="404040"/>
                                <w:sz w:val="24"/>
                              </w:rPr>
                            </m:ctrlPr>
                          </m:sSubPr>
                          <m:e>
                            <m:r>
                              <m:rPr>
                                <m:sty m:val="p"/>
                              </m:rPr>
                              <w:rPr>
                                <w:rFonts w:ascii="Cambria Math" w:eastAsiaTheme="majorEastAsia" w:hAnsi="Cambria Math" w:cs="Segoe UI"/>
                                <w:color w:val="404040"/>
                                <w:sz w:val="24"/>
                              </w:rPr>
                              <m:t>Mi</m:t>
                            </m:r>
                          </m:e>
                          <m:sub>
                            <m:r>
                              <w:rPr>
                                <w:rFonts w:ascii="Cambria Math" w:eastAsiaTheme="majorEastAsia" w:hAnsi="Cambria Math" w:cs="Segoe UI"/>
                                <w:color w:val="404040"/>
                                <w:sz w:val="24"/>
                              </w:rPr>
                              <m:t>Exomere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num>
                  <m:den>
                    <m:d>
                      <m:dPr>
                        <m:begChr m:val="|"/>
                        <m:endChr m:val="|"/>
                        <m:ctrlPr>
                          <w:rPr>
                            <w:rFonts w:ascii="Cambria Math" w:eastAsiaTheme="majorEastAsia" w:hAnsi="Cambria Math" w:cs="Segoe UI"/>
                            <w:i/>
                            <w:color w:val="404040"/>
                            <w:sz w:val="24"/>
                          </w:rPr>
                        </m:ctrlPr>
                      </m:dPr>
                      <m:e>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e>
                    </m:d>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exosome</m:t>
                    </m:r>
                  </m:sub>
                </m:sSub>
                <m:d>
                  <m:dPr>
                    <m:ctrlPr>
                      <w:rPr>
                        <w:rFonts w:ascii="Cambria Math" w:eastAsiaTheme="majorEastAsia" w:hAnsi="Cambria Math" w:cs="Cambria Math"/>
                        <w:i/>
                        <w:color w:val="404040"/>
                        <w:sz w:val="24"/>
                      </w:rPr>
                    </m:ctrlPr>
                  </m:dPr>
                  <m:e>
                    <m:sSub>
                      <m:sSubPr>
                        <m:ctrlPr>
                          <w:rPr>
                            <w:rFonts w:ascii="Cambria Math" w:eastAsiaTheme="majorEastAsia" w:hAnsi="Cambria Math" w:cs="Cambria Math"/>
                            <w:i/>
                            <w:color w:val="404040"/>
                            <w:sz w:val="24"/>
                          </w:rPr>
                        </m:ctrlPr>
                      </m:sSubPr>
                      <m:e>
                        <m:r>
                          <w:rPr>
                            <w:rFonts w:ascii="Cambria Math" w:eastAsiaTheme="majorEastAsia" w:hAnsi="Cambria Math" w:cs="Cambria Math"/>
                            <w:color w:val="404040"/>
                            <w:sz w:val="24"/>
                          </w:rPr>
                          <m:t>c</m:t>
                        </m:r>
                      </m:e>
                      <m:sub>
                        <m:r>
                          <w:rPr>
                            <w:rFonts w:ascii="Cambria Math" w:eastAsiaTheme="majorEastAsia" w:hAnsi="Cambria Math" w:cs="Cambria Math"/>
                            <w:color w:val="404040"/>
                            <w:sz w:val="24"/>
                          </w:rPr>
                          <m:t>i</m:t>
                        </m:r>
                      </m:sub>
                    </m:sSub>
                  </m:e>
                </m:d>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exosome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Extracellular 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Extracellular 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m:rPr>
                        <m:sty m:val="p"/>
                      </m:rPr>
                      <w:rPr>
                        <w:rFonts w:ascii="Cambria Math" w:eastAsiaTheme="majorEastAsia" w:hAnsi="Cambria Math" w:cs="Segoe UI"/>
                        <w:color w:val="404040"/>
                        <w:sz w:val="24"/>
                      </w:rPr>
                      <m:t>Microvesicle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Microvesicle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Mitochondrion</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Mitochondrion</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ctrlPr>
                  <w:rPr>
                    <w:rFonts w:ascii="Cambria Math" w:eastAsiaTheme="majorEastAsia" w:hAnsi="Cambria Math" w:cs="Cambria Math"/>
                    <w:i/>
                    <w:color w:val="404040"/>
                    <w:sz w:val="24"/>
                  </w:rPr>
                </m:ctrlPr>
              </m:e>
              <m:e>
                <m:sSub>
                  <m:sSubPr>
                    <m:ctrlPr>
                      <w:rPr>
                        <w:rFonts w:ascii="Cambria Math" w:eastAsiaTheme="majorEastAsia" w:hAnsi="Cambria Math" w:cs="Cambria Math"/>
                        <w:i/>
                        <w:color w:val="404040"/>
                        <w:sz w:val="24"/>
                      </w:rPr>
                    </m:ctrlPr>
                  </m:sSubPr>
                  <m:e>
                    <m:r>
                      <m:rPr>
                        <m:sty m:val="p"/>
                      </m:rPr>
                      <w:rPr>
                        <w:rFonts w:ascii="Cambria Math" w:eastAsiaTheme="majorEastAsia" w:hAnsi="Cambria Math" w:cs="Cambria Math"/>
                        <w:color w:val="404040"/>
                        <w:sz w:val="24"/>
                      </w:rPr>
                      <m:t>R</m:t>
                    </m:r>
                  </m:e>
                  <m:sub>
                    <m:r>
                      <w:rPr>
                        <w:rFonts w:ascii="Cambria Math" w:eastAsiaTheme="majorEastAsia" w:hAnsi="Cambria Math" w:cs="Segoe UI"/>
                        <w:color w:val="404040"/>
                        <w:sz w:val="24"/>
                      </w:rPr>
                      <m:t>Supermere</m:t>
                    </m:r>
                  </m:sub>
                </m:sSub>
                <m:r>
                  <w:rPr>
                    <w:rFonts w:ascii="Cambria Math" w:eastAsiaTheme="majorEastAsia" w:hAnsi="Cambria Math" w:cs="Cambria Math"/>
                    <w:color w:val="404040"/>
                    <w:sz w:val="24"/>
                  </w:rPr>
                  <m:t>=</m:t>
                </m:r>
                <m:f>
                  <m:fPr>
                    <m:ctrlPr>
                      <w:rPr>
                        <w:rFonts w:ascii="Cambria Math" w:eastAsiaTheme="majorEastAsia" w:hAnsi="Cambria Math" w:cs="Cambria Math"/>
                        <w:i/>
                        <w:color w:val="404040"/>
                        <w:sz w:val="24"/>
                      </w:rPr>
                    </m:ctrlPr>
                  </m:fPr>
                  <m:num>
                    <m:r>
                      <w:rPr>
                        <w:rFonts w:ascii="Cambria Math" w:eastAsiaTheme="majorEastAsia" w:hAnsi="Cambria Math" w:cs="Cambria Math"/>
                        <w:color w:val="404040"/>
                        <w:sz w:val="24"/>
                      </w:rPr>
                      <m:t>|</m:t>
                    </m:r>
                    <m:sSub>
                      <m:sSubPr>
                        <m:ctrlPr>
                          <w:rPr>
                            <w:rFonts w:ascii="Cambria Math" w:eastAsiaTheme="majorEastAsia" w:hAnsi="Cambria Math" w:cs="Segoe UI"/>
                            <w:i/>
                            <w:color w:val="404040"/>
                            <w:sz w:val="24"/>
                          </w:rPr>
                        </m:ctrlPr>
                      </m:sSubPr>
                      <m:e>
                        <m:r>
                          <m:rPr>
                            <m:sty m:val="p"/>
                          </m:rPr>
                          <w:rPr>
                            <w:rFonts w:ascii="Cambria Math" w:eastAsiaTheme="majorEastAsia" w:hAnsi="Cambria Math" w:cs="Segoe UI" w:hint="eastAsia"/>
                            <w:color w:val="404040"/>
                            <w:sz w:val="24"/>
                          </w:rPr>
                          <m:t>Mi</m:t>
                        </m:r>
                      </m:e>
                      <m:sub>
                        <m:r>
                          <w:rPr>
                            <w:rFonts w:ascii="Cambria Math" w:eastAsiaTheme="majorEastAsia" w:hAnsi="Cambria Math" w:cs="Segoe UI"/>
                            <w:color w:val="404040"/>
                            <w:sz w:val="24"/>
                          </w:rPr>
                          <m:t>Supermere</m:t>
                        </m:r>
                      </m:sub>
                    </m:sSub>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num>
                  <m:den>
                    <m:r>
                      <w:rPr>
                        <w:rFonts w:ascii="Cambria Math" w:eastAsiaTheme="majorEastAsia" w:hAnsi="Cambria Math" w:cs="Cambria Math"/>
                        <w:color w:val="404040"/>
                        <w:sz w:val="24"/>
                      </w:rPr>
                      <m:t>|</m:t>
                    </m:r>
                    <m:r>
                      <w:rPr>
                        <w:rFonts w:ascii="Cambria Math" w:eastAsiaTheme="majorEastAsia" w:hAnsi="Cambria Math" w:cs="Segoe UI"/>
                        <w:color w:val="404040"/>
                        <w:sz w:val="24"/>
                      </w:rPr>
                      <m:t>Mi</m:t>
                    </m:r>
                    <m:d>
                      <m:dPr>
                        <m:ctrlPr>
                          <w:rPr>
                            <w:rFonts w:ascii="Cambria Math" w:eastAsiaTheme="majorEastAsia" w:hAnsi="Cambria Math" w:cs="Segoe UI"/>
                            <w:i/>
                            <w:color w:val="404040"/>
                            <w:sz w:val="24"/>
                          </w:rPr>
                        </m:ctrlPr>
                      </m:dPr>
                      <m:e>
                        <m:sSub>
                          <m:sSubPr>
                            <m:ctrlPr>
                              <w:rPr>
                                <w:rFonts w:ascii="Cambria Math" w:eastAsiaTheme="majorEastAsia" w:hAnsi="Cambria Math" w:cs="Segoe UI"/>
                                <w:i/>
                                <w:color w:val="404040"/>
                                <w:sz w:val="24"/>
                              </w:rPr>
                            </m:ctrlPr>
                          </m:sSubPr>
                          <m:e>
                            <m:r>
                              <w:rPr>
                                <w:rFonts w:ascii="Cambria Math" w:eastAsiaTheme="majorEastAsia" w:hAnsi="Cambria Math" w:cs="Segoe UI"/>
                                <w:color w:val="404040"/>
                                <w:sz w:val="24"/>
                              </w:rPr>
                              <m:t>c</m:t>
                            </m:r>
                          </m:e>
                          <m:sub>
                            <m:r>
                              <w:rPr>
                                <w:rFonts w:ascii="Cambria Math" w:eastAsiaTheme="majorEastAsia" w:hAnsi="Cambria Math" w:cs="Segoe UI"/>
                                <w:color w:val="404040"/>
                                <w:sz w:val="24"/>
                              </w:rPr>
                              <m:t>i</m:t>
                            </m:r>
                          </m:sub>
                        </m:sSub>
                      </m:e>
                    </m:d>
                    <m:r>
                      <w:rPr>
                        <w:rFonts w:ascii="Cambria Math" w:eastAsiaTheme="majorEastAsia" w:hAnsi="Cambria Math" w:cs="Cambria Math"/>
                        <w:color w:val="404040"/>
                        <w:sz w:val="24"/>
                      </w:rPr>
                      <m:t>|</m:t>
                    </m:r>
                  </m:den>
                </m:f>
              </m:e>
            </m:eqArr>
          </m:e>
        </m:d>
      </m:oMath>
      <w:r>
        <w:rPr>
          <w:rFonts w:asciiTheme="majorEastAsia" w:eastAsiaTheme="majorEastAsia" w:hAnsiTheme="majorEastAsia" w:cs="Segoe UI" w:hint="eastAsia"/>
          <w:color w:val="404040"/>
          <w:sz w:val="24"/>
        </w:rPr>
        <w:t xml:space="preserve">  (3)</w:t>
      </w:r>
    </w:p>
    <w:p w14:paraId="54CCF4D2"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通过上述处理，</w:t>
      </w:r>
      <w:r>
        <w:rPr>
          <w:rFonts w:asciiTheme="majorEastAsia" w:eastAsiaTheme="majorEastAsia" w:hAnsiTheme="majorEastAsia" w:cs="Segoe UI"/>
          <w:color w:val="404040"/>
          <w:sz w:val="24"/>
        </w:rPr>
        <w:t>我们将</w:t>
      </w:r>
      <w:r>
        <w:rPr>
          <w:rFonts w:asciiTheme="majorEastAsia" w:eastAsiaTheme="majorEastAsia" w:hAnsiTheme="majorEastAsia" w:cs="Segoe UI" w:hint="eastAsia"/>
          <w:color w:val="404040"/>
          <w:sz w:val="24"/>
        </w:rPr>
        <w:t>ciRNA</w:t>
      </w:r>
      <w:r>
        <w:rPr>
          <w:rFonts w:asciiTheme="majorEastAsia" w:eastAsiaTheme="majorEastAsia" w:hAnsiTheme="majorEastAsia" w:cs="Segoe UI"/>
          <w:color w:val="404040"/>
          <w:sz w:val="24"/>
        </w:rPr>
        <w:t>亚细胞定位信息转换为归一化向量表示，有效增强了circRNA亚细胞定位预测过程中的上下文生物学解释性</w:t>
      </w:r>
      <w:r>
        <w:rPr>
          <w:rFonts w:asciiTheme="majorEastAsia" w:eastAsiaTheme="majorEastAsia" w:hAnsiTheme="majorEastAsia" w:cs="Segoe UI" w:hint="eastAsia"/>
          <w:color w:val="404040"/>
          <w:sz w:val="24"/>
        </w:rPr>
        <w:t>。</w:t>
      </w:r>
    </w:p>
    <w:p w14:paraId="55D901D1"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最终，每个circRNA的特征表示融合了八种类型的多源信息，具体包括：</w:t>
      </w:r>
      <w:r>
        <w:rPr>
          <w:rFonts w:asciiTheme="majorEastAsia" w:eastAsiaTheme="majorEastAsia" w:hAnsiTheme="majorEastAsia" w:cs="Segoe UI" w:hint="eastAsia"/>
          <w:color w:val="404040"/>
          <w:sz w:val="24"/>
        </w:rPr>
        <w:t>第一种特征类型是通过node2vec从circRNA序列相似性网络中获得的，第二种特征是通过K-mer方法从circRNA序列中获得的，第三种特征是通过反向互补K-mer方法从circRNA序列中获得的，并且我们将第二种和第三种特征通过GATE和circRNA详细网络进一步处理。第四种特征是通过</w:t>
      </w:r>
      <w:proofErr w:type="gramStart"/>
      <w:r>
        <w:rPr>
          <w:rFonts w:asciiTheme="majorEastAsia" w:eastAsiaTheme="majorEastAsia" w:hAnsiTheme="majorEastAsia" w:cs="Segoe UI" w:hint="eastAsia"/>
          <w:color w:val="404040"/>
          <w:sz w:val="24"/>
        </w:rPr>
        <w:t>预训练</w:t>
      </w:r>
      <w:proofErr w:type="gramEnd"/>
      <w:r>
        <w:rPr>
          <w:rFonts w:asciiTheme="majorEastAsia" w:eastAsiaTheme="majorEastAsia" w:hAnsiTheme="majorEastAsia" w:cs="Segoe UI" w:hint="eastAsia"/>
          <w:color w:val="404040"/>
          <w:sz w:val="24"/>
        </w:rPr>
        <w:t>的语言模型RNAErnie模型获得，第五种特征通过node2vec从circRNA-disease关联网络种获得，并且通过GATE和circRNA相似网络进一步加工。第六种和第七种特征类型与第五种类似，分别来自于circRNA-drug和circRAN-miRNA关联网络。为了获取更多信息特征，还采用了miRNA亚细胞定位的信息来生成这种特征。</w:t>
      </w:r>
    </w:p>
    <w:p w14:paraId="01278D7D" w14:textId="77777777" w:rsidR="00B40C2D" w:rsidRDefault="00B40C2D">
      <w:pPr>
        <w:widowControl/>
        <w:jc w:val="left"/>
        <w:rPr>
          <w:rFonts w:asciiTheme="majorEastAsia" w:eastAsiaTheme="majorEastAsia" w:hAnsiTheme="majorEastAsia" w:cs="Segoe UI" w:hint="eastAsia"/>
          <w:color w:val="404040"/>
          <w:sz w:val="24"/>
        </w:rPr>
      </w:pPr>
    </w:p>
    <w:p w14:paraId="656BB0BA" w14:textId="77777777" w:rsidR="00B40C2D" w:rsidRDefault="00000000">
      <w:pPr>
        <w:pStyle w:val="3"/>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CircLoc概述</w:t>
      </w:r>
    </w:p>
    <w:p w14:paraId="6F67B1E0"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在本研究中，我们提出了一种基于多</w:t>
      </w:r>
      <w:proofErr w:type="gramStart"/>
      <w:r>
        <w:rPr>
          <w:rFonts w:asciiTheme="majorEastAsia" w:eastAsiaTheme="majorEastAsia" w:hAnsiTheme="majorEastAsia" w:cs="Segoe UI"/>
          <w:color w:val="404040"/>
          <w:sz w:val="24"/>
        </w:rPr>
        <w:t>源特征</w:t>
      </w:r>
      <w:proofErr w:type="gramEnd"/>
      <w:r>
        <w:rPr>
          <w:rFonts w:asciiTheme="majorEastAsia" w:eastAsiaTheme="majorEastAsia" w:hAnsiTheme="majorEastAsia" w:cs="Segoe UI"/>
          <w:color w:val="404040"/>
          <w:sz w:val="24"/>
        </w:rPr>
        <w:t>融合的多标签分类模型，命名为 CircLoc，用于预测circRNA的亚细胞定位信息。模型的整体构建流程如F</w:t>
      </w:r>
      <w:r>
        <w:rPr>
          <w:rFonts w:asciiTheme="majorEastAsia" w:eastAsiaTheme="majorEastAsia" w:hAnsiTheme="majorEastAsia" w:cs="Segoe UI" w:hint="eastAsia"/>
          <w:color w:val="404040"/>
          <w:sz w:val="24"/>
        </w:rPr>
        <w:t>igure xxx</w:t>
      </w:r>
      <w:r>
        <w:rPr>
          <w:rFonts w:asciiTheme="majorEastAsia" w:eastAsiaTheme="majorEastAsia" w:hAnsiTheme="majorEastAsia" w:cs="Segoe UI"/>
          <w:color w:val="404040"/>
          <w:sz w:val="24"/>
        </w:rPr>
        <w:t>所示。正如“circRNA多源特性”部分所述，我们综合利用了多种circRNA相关信息，包括circRNA的序列相似性网络、序列本身的特征，以及其与疾病、药物和miRNA的关联网络。</w:t>
      </w:r>
    </w:p>
    <w:p w14:paraId="781FCFAA"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具体而言，我们从circRNA序列中提取了两类序列特征：一类是通过K-mer与反向K-mer方法获得的统计特征，另一类是借助</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语言模型RNAErnie提取的深层语义特征；此外，我们还利用circRNA–</w:t>
      </w:r>
      <w:r>
        <w:rPr>
          <w:rFonts w:asciiTheme="majorEastAsia" w:eastAsiaTheme="majorEastAsia" w:hAnsiTheme="majorEastAsia" w:cs="Segoe UI" w:hint="eastAsia"/>
          <w:color w:val="404040"/>
          <w:sz w:val="24"/>
        </w:rPr>
        <w:t>disease</w:t>
      </w:r>
      <w:r>
        <w:rPr>
          <w:rFonts w:asciiTheme="majorEastAsia" w:eastAsiaTheme="majorEastAsia" w:hAnsiTheme="majorEastAsia" w:cs="Segoe UI"/>
          <w:color w:val="404040"/>
          <w:sz w:val="24"/>
        </w:rPr>
        <w:t>、circRNA–</w:t>
      </w:r>
      <w:r>
        <w:rPr>
          <w:rFonts w:asciiTheme="majorEastAsia" w:eastAsiaTheme="majorEastAsia" w:hAnsiTheme="majorEastAsia" w:cs="Segoe UI" w:hint="eastAsia"/>
          <w:color w:val="404040"/>
          <w:sz w:val="24"/>
        </w:rPr>
        <w:t>drug</w:t>
      </w:r>
      <w:r>
        <w:rPr>
          <w:rFonts w:asciiTheme="majorEastAsia" w:eastAsiaTheme="majorEastAsia" w:hAnsiTheme="majorEastAsia" w:cs="Segoe UI"/>
          <w:color w:val="404040"/>
          <w:sz w:val="24"/>
        </w:rPr>
        <w:t>、circRNA–miRNA三类异构网络中节点之间的拓扑关系提取了网络结构特征。综合上述不同来源的信息，我们共生成了8种不同类型的特征用于表征每一个circRNA。所有这些特征最终被拼接成一个统一的高维特征向量，作为模型的输入。</w:t>
      </w:r>
    </w:p>
    <w:p w14:paraId="776E9F2C"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CircLoc模型由两部分组成：自注意力机制层 与 全连接神经网络层。在自注意力层中，模型通过自注意力机制学习各类特征之间的相对重要性，从而捕捉</w:t>
      </w:r>
      <w:r>
        <w:rPr>
          <w:rFonts w:asciiTheme="majorEastAsia" w:eastAsiaTheme="majorEastAsia" w:hAnsiTheme="majorEastAsia" w:cs="Segoe UI"/>
          <w:color w:val="404040"/>
          <w:sz w:val="24"/>
        </w:rPr>
        <w:lastRenderedPageBreak/>
        <w:t>特征之间的深层依赖关系，增强表示能力。随后，更新后的特征向量被输入至包含三个ReLU激活的隐藏层与一个Sigmoid输出层的全连接网络中进行分类预测。损失函数采用二元交叉熵（binary cross-entropy），模型参数由Adam优化器进行训练与更新</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_Ref199444294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[49]</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 xml:space="preserve">。整个多标签分类器基于TensorFlow 2.11.0 与 Scikit-learn </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_Ref199444300 \r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cs="Segoe UI"/>
          <w:color w:val="404040"/>
          <w:sz w:val="24"/>
        </w:rPr>
        <w:t>[50]</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 xml:space="preserve"> 实现。</w:t>
      </w:r>
    </w:p>
    <w:p w14:paraId="69DD42E8"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需要指出的是，实验所用数据集中存在类别分布不均的情况。以亚细胞定位为例，Cytoplasm类别下共有622个circRNA样本，而Chromatin类别下仅有46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685CBC15"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F</w:t>
      </w:r>
      <w:r>
        <w:rPr>
          <w:rFonts w:asciiTheme="majorEastAsia" w:eastAsiaTheme="majorEastAsia" w:hAnsiTheme="majorEastAsia" w:cs="Segoe UI" w:hint="eastAsia"/>
          <w:color w:val="404040"/>
          <w:sz w:val="24"/>
        </w:rPr>
        <w:t>igure xxx</w:t>
      </w:r>
    </w:p>
    <w:p w14:paraId="48A870DB"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p w14:paraId="00FE6BBC" w14:textId="77777777" w:rsidR="00B40C2D" w:rsidRDefault="00000000">
      <w:pPr>
        <w:pStyle w:val="3"/>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评估指标</w:t>
      </w:r>
    </w:p>
    <w:p w14:paraId="3B77CD89"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交叉验证（Cross-validation）是一种广泛应用于分类器性能评估的标准方法[55]。在本研究中，我们采用10折交叉验证（10-fold cross-validation）对所提出的分类器进行系统评估。交叉验证的结果通过多种评价指标进行量化，包括、accuracy、</w:t>
      </w:r>
      <w:r>
        <w:rPr>
          <w:rFonts w:asciiTheme="majorEastAsia" w:eastAsiaTheme="majorEastAsia" w:hAnsiTheme="majorEastAsia" w:cs="Segoe UI" w:hint="eastAsia"/>
          <w:color w:val="404040"/>
          <w:sz w:val="24"/>
        </w:rPr>
        <w:t>recall</w:t>
      </w:r>
      <w:r>
        <w:rPr>
          <w:rFonts w:asciiTheme="majorEastAsia" w:eastAsiaTheme="majorEastAsia" w:hAnsiTheme="majorEastAsia" w:cs="Segoe UI"/>
          <w:color w:val="404040"/>
          <w:sz w:val="24"/>
        </w:rPr>
        <w:t>和Precision</w:t>
      </w:r>
      <w:proofErr w:type="gramStart"/>
      <w:r>
        <w:rPr>
          <w:rFonts w:asciiTheme="majorEastAsia" w:eastAsiaTheme="majorEastAsia" w:hAnsiTheme="majorEastAsia" w:cs="Segoe UI"/>
          <w:color w:val="404040"/>
          <w:sz w:val="24"/>
        </w:rPr>
        <w:t>估</w:t>
      </w:r>
      <w:proofErr w:type="gramEnd"/>
      <w:r>
        <w:rPr>
          <w:rFonts w:asciiTheme="majorEastAsia" w:eastAsiaTheme="majorEastAsia" w:hAnsiTheme="majorEastAsia" w:cs="Segoe UI"/>
          <w:color w:val="404040"/>
          <w:sz w:val="24"/>
        </w:rPr>
        <w:t>指标。</w:t>
      </w:r>
    </w:p>
    <w:p w14:paraId="7E14CA1F" w14:textId="77777777"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除上述总体性能指标外，我们还针对每个亚细胞定位标签绘制了ROC曲线（Receiver Operating Characteristic Curve）和PR曲线（Precision–Recall Curve），并计算其对应的面积指标，即AUC（Area Under the ROC Curve）和AUPR（Area Under the PR Curve）。这些曲线和指标可以更细致地反映模型在不同标签上的分类性能，尤其是在数据不平衡的背景下更具解释力。</w:t>
      </w:r>
    </w:p>
    <w:p w14:paraId="7E9B0C42" w14:textId="77777777" w:rsidR="00B40C2D" w:rsidRDefault="00000000">
      <w:pPr>
        <w:pStyle w:val="1"/>
        <w:rPr>
          <w:rFonts w:asciiTheme="majorEastAsia" w:eastAsiaTheme="majorEastAsia" w:hAnsiTheme="majorEastAsia" w:cs="Segoe UI" w:hint="eastAsia"/>
          <w:color w:val="404040"/>
          <w:szCs w:val="40"/>
        </w:rPr>
      </w:pPr>
      <w:r>
        <w:rPr>
          <w:rFonts w:asciiTheme="majorEastAsia" w:eastAsiaTheme="majorEastAsia" w:hAnsiTheme="majorEastAsia" w:cs="Segoe UI"/>
          <w:color w:val="404040"/>
          <w:szCs w:val="40"/>
        </w:rPr>
        <w:t xml:space="preserve">Result and discussion Performance of </w:t>
      </w:r>
      <w:r>
        <w:rPr>
          <w:rFonts w:asciiTheme="majorEastAsia" w:eastAsiaTheme="majorEastAsia" w:hAnsiTheme="majorEastAsia" w:cs="Segoe UI" w:hint="eastAsia"/>
          <w:color w:val="404040"/>
          <w:szCs w:val="40"/>
        </w:rPr>
        <w:t>CircLoc</w:t>
      </w:r>
    </w:p>
    <w:p w14:paraId="1D3229B4" w14:textId="77777777" w:rsidR="00B40C2D" w:rsidRDefault="00000000">
      <w:pPr>
        <w:ind w:firstLineChars="200" w:firstLine="420"/>
        <w:rPr>
          <w:rFonts w:asciiTheme="majorEastAsia" w:eastAsiaTheme="majorEastAsia" w:hAnsiTheme="majorEastAsia" w:cs="Segoe UI" w:hint="eastAsia"/>
          <w:color w:val="404040"/>
          <w:sz w:val="24"/>
        </w:rPr>
      </w:pPr>
      <w:r>
        <w:rPr>
          <w:rFonts w:asciiTheme="majorEastAsia" w:eastAsiaTheme="majorEastAsia" w:hAnsiTheme="majorEastAsia" w:hint="eastAsia"/>
        </w:rPr>
        <w:t>在</w:t>
      </w:r>
      <w:r>
        <w:rPr>
          <w:rFonts w:asciiTheme="majorEastAsia" w:eastAsiaTheme="majorEastAsia" w:hAnsiTheme="majorEastAsia" w:cs="Segoe UI"/>
          <w:color w:val="404040"/>
          <w:sz w:val="24"/>
        </w:rPr>
        <w:t>10折交叉验证</w:t>
      </w:r>
      <w:r>
        <w:rPr>
          <w:rFonts w:asciiTheme="majorEastAsia" w:eastAsiaTheme="majorEastAsia" w:hAnsiTheme="majorEastAsia" w:cs="Segoe UI" w:hint="eastAsia"/>
          <w:color w:val="404040"/>
          <w:sz w:val="24"/>
        </w:rPr>
        <w:t>对CircLoc进行评估，结果显示，其</w:t>
      </w:r>
      <w:r>
        <w:rPr>
          <w:rFonts w:asciiTheme="majorEastAsia" w:eastAsiaTheme="majorEastAsia" w:hAnsiTheme="majorEastAsia" w:cs="Segoe UI"/>
          <w:color w:val="404040"/>
          <w:sz w:val="24"/>
        </w:rPr>
        <w:t>accuracy</w:t>
      </w:r>
      <w:r>
        <w:rPr>
          <w:rFonts w:asciiTheme="majorEastAsia" w:eastAsiaTheme="majorEastAsia" w:hAnsiTheme="majorEastAsia" w:cs="Segoe UI" w:hint="eastAsia"/>
          <w:color w:val="404040"/>
          <w:sz w:val="24"/>
        </w:rPr>
        <w:t>，F1，recall和precision分别是0.807，0.480，0.645，0.464，此外，我们统计了CircLoc在其中亚细胞定位中的性能，以AUC和AUPR衡量，其ROC和PR曲线如</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_Ref199506018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_Ref199506023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6</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所示，在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上的AUC值分别是0.750，0.790，0.807，0.798，0.728，0.727，0.824。绝大部分的AUC值均高于0.75，这表明CircLoc在这些亚细胞定位中表现良好，而在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Cytosol</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上的AUPR分别是0.234，0.259，0.254，0.386，0.660，0.482，0.759。在</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Nucleolus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上表现不佳，通过观察</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_Ref199264954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2</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可知，其样本数量较少，且负样本远多于正样本，由于AUPR对样本不平</w:t>
      </w:r>
      <w:proofErr w:type="gramStart"/>
      <w:r>
        <w:rPr>
          <w:rFonts w:asciiTheme="majorEastAsia" w:eastAsiaTheme="majorEastAsia" w:hAnsiTheme="majorEastAsia" w:cs="Segoe UI" w:hint="eastAsia"/>
          <w:color w:val="404040"/>
          <w:sz w:val="24"/>
        </w:rPr>
        <w:t>很</w:t>
      </w:r>
      <w:proofErr w:type="gramEnd"/>
      <w:r>
        <w:rPr>
          <w:rFonts w:asciiTheme="majorEastAsia" w:eastAsiaTheme="majorEastAsia" w:hAnsiTheme="majorEastAsia" w:cs="Segoe UI" w:hint="eastAsia"/>
          <w:color w:val="404040"/>
          <w:sz w:val="24"/>
        </w:rPr>
        <w:t>问题比AUC更敏感，这些因素导致了它的AUPR值偏低。进一步计算平均AUC和AUPR，结果分别是0.775和0.433</w:t>
      </w:r>
    </w:p>
    <w:p w14:paraId="28769D42"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lastRenderedPageBreak/>
        <w:drawing>
          <wp:inline distT="0" distB="0" distL="0" distR="0" wp14:anchorId="10F37771" wp14:editId="6739F5F3">
            <wp:extent cx="4154805" cy="3323590"/>
            <wp:effectExtent l="0" t="0" r="0" b="0"/>
            <wp:docPr id="150160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60559" name="图片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63428" cy="3330842"/>
                    </a:xfrm>
                    <a:prstGeom prst="rect">
                      <a:avLst/>
                    </a:prstGeom>
                  </pic:spPr>
                </pic:pic>
              </a:graphicData>
            </a:graphic>
          </wp:inline>
        </w:drawing>
      </w:r>
    </w:p>
    <w:p w14:paraId="697BAFA9" w14:textId="77777777" w:rsidR="00B40C2D" w:rsidRDefault="00000000">
      <w:pPr>
        <w:pStyle w:val="a3"/>
        <w:jc w:val="left"/>
        <w:rPr>
          <w:rFonts w:asciiTheme="majorEastAsia" w:eastAsiaTheme="majorEastAsia" w:hAnsiTheme="majorEastAsia" w:cs="Segoe UI" w:hint="eastAsia"/>
          <w:color w:val="404040"/>
          <w:sz w:val="24"/>
        </w:rPr>
      </w:pPr>
      <w:bookmarkStart w:id="9" w:name="_Ref199506018"/>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5</w:t>
      </w:r>
      <w:r>
        <w:rPr>
          <w:rFonts w:asciiTheme="majorEastAsia" w:eastAsiaTheme="majorEastAsia" w:hAnsiTheme="majorEastAsia"/>
        </w:rPr>
        <w:fldChar w:fldCharType="end"/>
      </w:r>
      <w:bookmarkEnd w:id="9"/>
      <w:r>
        <w:rPr>
          <w:rFonts w:asciiTheme="majorEastAsia" w:eastAsiaTheme="majorEastAsia" w:hAnsiTheme="majorEastAsia" w:hint="eastAsia"/>
        </w:rPr>
        <w:t>. ROC curves</w:t>
      </w:r>
    </w:p>
    <w:p w14:paraId="490ED98F" w14:textId="77777777" w:rsidR="00B40C2D" w:rsidRDefault="00000000">
      <w:pPr>
        <w:keepNext/>
        <w:widowControl/>
        <w:ind w:firstLineChars="200" w:firstLine="480"/>
        <w:jc w:val="left"/>
        <w:rPr>
          <w:rFonts w:asciiTheme="majorEastAsia" w:eastAsiaTheme="majorEastAsia" w:hAnsiTheme="majorEastAsia" w:hint="eastAsia"/>
        </w:rPr>
      </w:pPr>
      <w:r>
        <w:rPr>
          <w:rFonts w:asciiTheme="majorEastAsia" w:eastAsiaTheme="majorEastAsia" w:hAnsiTheme="majorEastAsia" w:cs="Segoe UI"/>
          <w:noProof/>
          <w:color w:val="404040"/>
          <w:sz w:val="24"/>
        </w:rPr>
        <w:drawing>
          <wp:inline distT="0" distB="0" distL="0" distR="0" wp14:anchorId="359D6B8E" wp14:editId="7333FF39">
            <wp:extent cx="4443730" cy="3554730"/>
            <wp:effectExtent l="0" t="0" r="0" b="7620"/>
            <wp:docPr id="7985318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31891"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1258" cy="3561114"/>
                    </a:xfrm>
                    <a:prstGeom prst="rect">
                      <a:avLst/>
                    </a:prstGeom>
                  </pic:spPr>
                </pic:pic>
              </a:graphicData>
            </a:graphic>
          </wp:inline>
        </w:drawing>
      </w:r>
    </w:p>
    <w:p w14:paraId="59BD23C1" w14:textId="77777777" w:rsidR="00B40C2D" w:rsidRDefault="00000000">
      <w:pPr>
        <w:pStyle w:val="a3"/>
        <w:jc w:val="left"/>
        <w:rPr>
          <w:rFonts w:asciiTheme="majorEastAsia" w:eastAsiaTheme="majorEastAsia" w:hAnsiTheme="majorEastAsia" w:cs="Segoe UI" w:hint="eastAsia"/>
          <w:color w:val="404040"/>
          <w:sz w:val="24"/>
        </w:rPr>
      </w:pPr>
      <w:bookmarkStart w:id="10" w:name="_Ref199506023"/>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6</w:t>
      </w:r>
      <w:r>
        <w:rPr>
          <w:rFonts w:asciiTheme="majorEastAsia" w:eastAsiaTheme="majorEastAsia" w:hAnsiTheme="majorEastAsia"/>
        </w:rPr>
        <w:fldChar w:fldCharType="end"/>
      </w:r>
      <w:bookmarkEnd w:id="10"/>
      <w:r>
        <w:rPr>
          <w:rFonts w:asciiTheme="majorEastAsia" w:eastAsiaTheme="majorEastAsia" w:hAnsiTheme="majorEastAsia" w:hint="eastAsia"/>
        </w:rPr>
        <w:t>. PR curves</w:t>
      </w:r>
    </w:p>
    <w:p w14:paraId="48119707" w14:textId="77777777" w:rsidR="00B40C2D" w:rsidRDefault="00B40C2D">
      <w:pPr>
        <w:widowControl/>
        <w:jc w:val="left"/>
        <w:rPr>
          <w:rFonts w:asciiTheme="majorEastAsia" w:eastAsiaTheme="majorEastAsia" w:hAnsiTheme="majorEastAsia" w:cs="Segoe UI" w:hint="eastAsia"/>
          <w:color w:val="404040"/>
          <w:sz w:val="24"/>
        </w:rPr>
      </w:pPr>
    </w:p>
    <w:p w14:paraId="65DBC14E"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八</w:t>
      </w:r>
      <w:r>
        <w:rPr>
          <w:rFonts w:asciiTheme="majorEastAsia" w:hAnsiTheme="majorEastAsia" w:cs="Segoe UI"/>
          <w:color w:val="404040"/>
          <w:sz w:val="28"/>
          <w:szCs w:val="36"/>
        </w:rPr>
        <w:t>种特征类型的有效性分析</w:t>
      </w:r>
    </w:p>
    <w:p w14:paraId="3A93BE67"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C</w:t>
      </w:r>
      <w:r>
        <w:rPr>
          <w:rFonts w:asciiTheme="majorEastAsia" w:eastAsiaTheme="majorEastAsia" w:hAnsiTheme="majorEastAsia" w:cs="Segoe UI" w:hint="eastAsia"/>
          <w:color w:val="404040"/>
          <w:sz w:val="24"/>
        </w:rPr>
        <w:t>ircLoc分类器整合了八种特征类型：序列相似度特征、Kmer、RCKmer、RNAErine、</w:t>
      </w:r>
      <w:r>
        <w:rPr>
          <w:rFonts w:asciiTheme="majorEastAsia" w:eastAsiaTheme="majorEastAsia" w:hAnsiTheme="majorEastAsia" w:cs="Segoe UI"/>
          <w:color w:val="404040"/>
          <w:sz w:val="24"/>
        </w:rPr>
        <w:t>疾病关联特征、药物关联特征、m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RNA网络特征</w:t>
      </w:r>
      <w:r>
        <w:rPr>
          <w:rFonts w:asciiTheme="majorEastAsia" w:eastAsiaTheme="majorEastAsia" w:hAnsiTheme="majorEastAsia" w:cs="Segoe UI" w:hint="eastAsia"/>
          <w:color w:val="404040"/>
          <w:sz w:val="24"/>
        </w:rPr>
        <w:t>及</w:t>
      </w:r>
      <w:r>
        <w:rPr>
          <w:rFonts w:asciiTheme="majorEastAsia" w:eastAsiaTheme="majorEastAsia" w:hAnsiTheme="majorEastAsia" w:cs="Segoe UI"/>
          <w:color w:val="404040"/>
          <w:sz w:val="24"/>
        </w:rPr>
        <w:t>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RNA共定位特征</w:t>
      </w:r>
      <w:r>
        <w:rPr>
          <w:rFonts w:asciiTheme="majorEastAsia" w:eastAsiaTheme="majorEastAsia" w:hAnsiTheme="majorEastAsia" w:cs="Segoe UI" w:hint="eastAsia"/>
          <w:color w:val="404040"/>
          <w:sz w:val="24"/>
        </w:rPr>
        <w:t>。本节通过特征消融实验验证</w:t>
      </w:r>
      <w:proofErr w:type="gramStart"/>
      <w:r>
        <w:rPr>
          <w:rFonts w:asciiTheme="majorEastAsia" w:eastAsiaTheme="majorEastAsia" w:hAnsiTheme="majorEastAsia" w:cs="Segoe UI" w:hint="eastAsia"/>
          <w:color w:val="404040"/>
          <w:sz w:val="24"/>
        </w:rPr>
        <w:t>各特征</w:t>
      </w:r>
      <w:proofErr w:type="gramEnd"/>
      <w:r>
        <w:rPr>
          <w:rFonts w:asciiTheme="majorEastAsia" w:eastAsiaTheme="majorEastAsia" w:hAnsiTheme="majorEastAsia" w:cs="Segoe UI" w:hint="eastAsia"/>
          <w:color w:val="404040"/>
          <w:sz w:val="24"/>
        </w:rPr>
        <w:t>对模型的贡献度，并证明多种特征融合能提升</w:t>
      </w:r>
      <w:r>
        <w:rPr>
          <w:rFonts w:asciiTheme="majorEastAsia" w:eastAsiaTheme="majorEastAsia" w:hAnsiTheme="majorEastAsia" w:cs="Segoe UI" w:hint="eastAsia"/>
          <w:color w:val="404040"/>
          <w:sz w:val="24"/>
        </w:rPr>
        <w:lastRenderedPageBreak/>
        <w:t>预测性能。考虑到八种特征能够生成255中组合，由于组合数过多，我们将其分为四类，分别是通过传统的序列编码方法K-mer和RCKmer，</w:t>
      </w:r>
      <w:proofErr w:type="gramStart"/>
      <w:r>
        <w:rPr>
          <w:rFonts w:asciiTheme="majorEastAsia" w:eastAsiaTheme="majorEastAsia" w:hAnsiTheme="majorEastAsia" w:cs="Segoe UI"/>
          <w:color w:val="404040"/>
          <w:sz w:val="24"/>
        </w:rPr>
        <w:t>预训练</w:t>
      </w:r>
      <w:proofErr w:type="gramEnd"/>
      <w:r>
        <w:rPr>
          <w:rFonts w:asciiTheme="majorEastAsia" w:eastAsiaTheme="majorEastAsia" w:hAnsiTheme="majorEastAsia" w:cs="Segoe UI"/>
          <w:color w:val="404040"/>
          <w:sz w:val="24"/>
        </w:rPr>
        <w:t>语言模型</w:t>
      </w:r>
      <w:r>
        <w:rPr>
          <w:rFonts w:asciiTheme="majorEastAsia" w:eastAsiaTheme="majorEastAsia" w:hAnsiTheme="majorEastAsia" w:cs="Segoe UI" w:hint="eastAsia"/>
          <w:color w:val="404040"/>
          <w:sz w:val="24"/>
        </w:rPr>
        <w:t>特征，序列相似度网络特征以及和疾病、miRNA、drug等相关联网络特征，这里分别记作α、β、γ、η。通过分类我们可能得到15种组合。</w:t>
      </w:r>
      <w:r>
        <w:rPr>
          <w:rFonts w:asciiTheme="majorEastAsia" w:eastAsiaTheme="majorEastAsia" w:hAnsiTheme="majorEastAsia" w:cs="Segoe UI"/>
          <w:color w:val="404040"/>
          <w:sz w:val="24"/>
        </w:rPr>
        <w:t>针对每种组合，我们构建了分类器并进行10折交叉验证，其性能指标见</w:t>
      </w:r>
      <w:r>
        <w:rPr>
          <w:rFonts w:asciiTheme="majorEastAsia" w:eastAsiaTheme="majorEastAsia" w:hAnsiTheme="majorEastAsia" w:cs="Segoe UI" w:hint="eastAsia"/>
          <w:color w:val="404040"/>
          <w:sz w:val="24"/>
        </w:rPr>
        <w:fldChar w:fldCharType="begin"/>
      </w:r>
      <w:r>
        <w:rPr>
          <w:rFonts w:asciiTheme="majorEastAsia" w:eastAsiaTheme="majorEastAsia" w:hAnsiTheme="majorEastAsia" w:cs="Segoe UI" w:hint="eastAsia"/>
          <w:color w:val="404040"/>
          <w:sz w:val="24"/>
        </w:rPr>
        <w:instrText xml:space="preserve"> </w:instrText>
      </w:r>
      <w:r>
        <w:rPr>
          <w:rFonts w:asciiTheme="majorEastAsia" w:eastAsiaTheme="majorEastAsia" w:hAnsiTheme="majorEastAsia" w:cs="Segoe UI"/>
          <w:color w:val="404040"/>
          <w:sz w:val="24"/>
        </w:rPr>
        <w:instrText>REF _Ref200369980 \h</w:instrText>
      </w:r>
      <w:r>
        <w:rPr>
          <w:rFonts w:asciiTheme="majorEastAsia" w:eastAsiaTheme="majorEastAsia" w:hAnsiTheme="majorEastAsia" w:cs="Segoe UI" w:hint="eastAsia"/>
          <w:color w:val="404040"/>
          <w:sz w:val="24"/>
        </w:rPr>
        <w:instrText xml:space="preserve"> </w:instrText>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t>Table 2</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_Ref199632136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_Ref199616189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p>
    <w:p w14:paraId="50FC52EE" w14:textId="77777777" w:rsidR="00B40C2D" w:rsidRDefault="00B40C2D">
      <w:pPr>
        <w:pStyle w:val="a3"/>
        <w:keepNext/>
        <w:rPr>
          <w:rFonts w:asciiTheme="majorEastAsia" w:eastAsiaTheme="majorEastAsia" w:hAnsiTheme="majorEastAsia" w:hint="eastAsia"/>
        </w:rPr>
      </w:pPr>
    </w:p>
    <w:p w14:paraId="7B06424F" w14:textId="150837B6" w:rsidR="00B40C2D" w:rsidRDefault="00000000">
      <w:pPr>
        <w:pStyle w:val="a3"/>
        <w:keepNext/>
      </w:pPr>
      <w:bookmarkStart w:id="11" w:name="_Ref200369980"/>
      <w:r>
        <w:t xml:space="preserve">Table </w:t>
      </w:r>
      <w:fldSimple w:instr=" SEQ Table \* ARABIC ">
        <w:r w:rsidR="008F5276">
          <w:rPr>
            <w:noProof/>
          </w:rPr>
          <w:t>2</w:t>
        </w:r>
      </w:fldSimple>
      <w:bookmarkEnd w:id="11"/>
      <w:r>
        <w:rPr>
          <w:rFonts w:hint="eastAsia"/>
        </w:rPr>
        <w:t xml:space="preserve">. </w:t>
      </w:r>
      <w:r>
        <w:rPr>
          <w:rFonts w:hint="eastAsia"/>
        </w:rPr>
        <w:t>各分类器指标得分</w:t>
      </w:r>
    </w:p>
    <w:tbl>
      <w:tblPr>
        <w:tblStyle w:val="ae"/>
        <w:tblW w:w="9384" w:type="dxa"/>
        <w:tblLayout w:type="fixed"/>
        <w:tblLook w:val="04A0" w:firstRow="1" w:lastRow="0" w:firstColumn="1" w:lastColumn="0" w:noHBand="0" w:noVBand="1"/>
      </w:tblPr>
      <w:tblGrid>
        <w:gridCol w:w="334"/>
        <w:gridCol w:w="334"/>
        <w:gridCol w:w="334"/>
        <w:gridCol w:w="335"/>
        <w:gridCol w:w="1341"/>
        <w:gridCol w:w="1341"/>
        <w:gridCol w:w="1342"/>
        <w:gridCol w:w="1341"/>
        <w:gridCol w:w="1341"/>
        <w:gridCol w:w="1341"/>
      </w:tblGrid>
      <w:tr w:rsidR="00B40C2D" w14:paraId="4102F93D" w14:textId="77777777" w:rsidTr="00B40C2D">
        <w:trPr>
          <w:cnfStyle w:val="100000000000" w:firstRow="1" w:lastRow="0" w:firstColumn="0" w:lastColumn="0" w:oddVBand="0" w:evenVBand="0" w:oddHBand="0" w:evenHBand="0" w:firstRowFirstColumn="0" w:firstRowLastColumn="0" w:lastRowFirstColumn="0" w:lastRowLastColumn="0"/>
          <w:trHeight w:val="654"/>
        </w:trPr>
        <w:tc>
          <w:tcPr>
            <w:tcW w:w="334" w:type="dxa"/>
            <w:vAlign w:val="center"/>
          </w:tcPr>
          <w:p w14:paraId="3A2AC65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334" w:type="dxa"/>
            <w:vAlign w:val="center"/>
          </w:tcPr>
          <w:p w14:paraId="1607B1F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334" w:type="dxa"/>
            <w:vAlign w:val="center"/>
          </w:tcPr>
          <w:p w14:paraId="40438A67"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335" w:type="dxa"/>
            <w:vAlign w:val="center"/>
          </w:tcPr>
          <w:p w14:paraId="7A216F4D"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341" w:type="dxa"/>
            <w:vAlign w:val="center"/>
          </w:tcPr>
          <w:p w14:paraId="6FB7CDA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AUC</w:t>
            </w:r>
          </w:p>
        </w:tc>
        <w:tc>
          <w:tcPr>
            <w:tcW w:w="1341" w:type="dxa"/>
            <w:vAlign w:val="center"/>
          </w:tcPr>
          <w:p w14:paraId="7959D3C9"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AUPR</w:t>
            </w:r>
          </w:p>
        </w:tc>
        <w:tc>
          <w:tcPr>
            <w:tcW w:w="1342" w:type="dxa"/>
            <w:vAlign w:val="center"/>
          </w:tcPr>
          <w:p w14:paraId="061ECEE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 xml:space="preserve">Average </w:t>
            </w:r>
            <w:r>
              <w:rPr>
                <w:rFonts w:asciiTheme="majorEastAsia" w:eastAsiaTheme="majorEastAsia" w:hAnsiTheme="majorEastAsia" w:cs="Segoe UI" w:hint="eastAsia"/>
                <w:b/>
                <w:bCs/>
                <w:color w:val="404040"/>
                <w:sz w:val="18"/>
                <w:szCs w:val="18"/>
              </w:rPr>
              <w:t>A</w:t>
            </w:r>
            <w:r>
              <w:rPr>
                <w:rFonts w:asciiTheme="majorEastAsia" w:eastAsiaTheme="majorEastAsia" w:hAnsiTheme="majorEastAsia" w:cs="Segoe UI"/>
                <w:b/>
                <w:bCs/>
                <w:color w:val="404040"/>
                <w:sz w:val="18"/>
                <w:szCs w:val="18"/>
              </w:rPr>
              <w:t>ccuracy</w:t>
            </w:r>
          </w:p>
        </w:tc>
        <w:tc>
          <w:tcPr>
            <w:tcW w:w="1341" w:type="dxa"/>
            <w:vAlign w:val="center"/>
          </w:tcPr>
          <w:p w14:paraId="66F4BB73"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F1</w:t>
            </w:r>
          </w:p>
        </w:tc>
        <w:tc>
          <w:tcPr>
            <w:tcW w:w="1341" w:type="dxa"/>
            <w:vAlign w:val="center"/>
          </w:tcPr>
          <w:p w14:paraId="55C81FD0"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Recall</w:t>
            </w:r>
          </w:p>
        </w:tc>
        <w:tc>
          <w:tcPr>
            <w:tcW w:w="1341" w:type="dxa"/>
            <w:vAlign w:val="center"/>
          </w:tcPr>
          <w:p w14:paraId="7979641F"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Average Precision</w:t>
            </w:r>
          </w:p>
        </w:tc>
      </w:tr>
      <w:tr w:rsidR="00B40C2D" w14:paraId="3946E2CD" w14:textId="77777777" w:rsidTr="00B40C2D">
        <w:trPr>
          <w:trHeight w:val="311"/>
        </w:trPr>
        <w:tc>
          <w:tcPr>
            <w:tcW w:w="334" w:type="dxa"/>
            <w:vAlign w:val="center"/>
          </w:tcPr>
          <w:p w14:paraId="2A207C4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3B4D08A3"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15512252"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649E53BE"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28FF837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0.544</w:t>
            </w:r>
          </w:p>
        </w:tc>
        <w:tc>
          <w:tcPr>
            <w:tcW w:w="1341" w:type="dxa"/>
          </w:tcPr>
          <w:p w14:paraId="6D62D4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0.234</w:t>
            </w:r>
          </w:p>
        </w:tc>
        <w:tc>
          <w:tcPr>
            <w:tcW w:w="1342" w:type="dxa"/>
          </w:tcPr>
          <w:p w14:paraId="037B56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0.577</w:t>
            </w:r>
          </w:p>
        </w:tc>
        <w:tc>
          <w:tcPr>
            <w:tcW w:w="1341" w:type="dxa"/>
          </w:tcPr>
          <w:p w14:paraId="2DAE5EF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1341" w:type="dxa"/>
          </w:tcPr>
          <w:p w14:paraId="157D463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0.681</w:t>
            </w:r>
          </w:p>
        </w:tc>
        <w:tc>
          <w:tcPr>
            <w:tcW w:w="1341" w:type="dxa"/>
          </w:tcPr>
          <w:p w14:paraId="01FBF0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r>
      <w:tr w:rsidR="00B40C2D" w14:paraId="4DBD7D75" w14:textId="77777777" w:rsidTr="00B40C2D">
        <w:trPr>
          <w:trHeight w:val="326"/>
        </w:trPr>
        <w:tc>
          <w:tcPr>
            <w:tcW w:w="334" w:type="dxa"/>
            <w:vAlign w:val="center"/>
          </w:tcPr>
          <w:p w14:paraId="6F77AD10"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D37207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26E482F7"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781177F"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1E6F2DD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0.621</w:t>
            </w:r>
          </w:p>
        </w:tc>
        <w:tc>
          <w:tcPr>
            <w:tcW w:w="1341" w:type="dxa"/>
          </w:tcPr>
          <w:p w14:paraId="2A3E6E9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42" w:type="dxa"/>
          </w:tcPr>
          <w:p w14:paraId="3826714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0.635</w:t>
            </w:r>
          </w:p>
        </w:tc>
        <w:tc>
          <w:tcPr>
            <w:tcW w:w="1341" w:type="dxa"/>
          </w:tcPr>
          <w:p w14:paraId="35D3738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0.358</w:t>
            </w:r>
          </w:p>
        </w:tc>
        <w:tc>
          <w:tcPr>
            <w:tcW w:w="1341" w:type="dxa"/>
          </w:tcPr>
          <w:p w14:paraId="0C03BC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0.708</w:t>
            </w:r>
          </w:p>
        </w:tc>
        <w:tc>
          <w:tcPr>
            <w:tcW w:w="1341" w:type="dxa"/>
          </w:tcPr>
          <w:p w14:paraId="065A355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0.288</w:t>
            </w:r>
          </w:p>
        </w:tc>
      </w:tr>
      <w:tr w:rsidR="00B40C2D" w14:paraId="79C25D55" w14:textId="77777777" w:rsidTr="00B40C2D">
        <w:trPr>
          <w:trHeight w:val="326"/>
        </w:trPr>
        <w:tc>
          <w:tcPr>
            <w:tcW w:w="334" w:type="dxa"/>
            <w:vAlign w:val="center"/>
          </w:tcPr>
          <w:p w14:paraId="7982E172"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2D0FBA7E"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4F7232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B134001"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5C8B514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0.716</w:t>
            </w:r>
          </w:p>
        </w:tc>
        <w:tc>
          <w:tcPr>
            <w:tcW w:w="1341" w:type="dxa"/>
          </w:tcPr>
          <w:p w14:paraId="67BA3F2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0.351</w:t>
            </w:r>
          </w:p>
        </w:tc>
        <w:tc>
          <w:tcPr>
            <w:tcW w:w="1342" w:type="dxa"/>
          </w:tcPr>
          <w:p w14:paraId="6F1588A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0.752</w:t>
            </w:r>
          </w:p>
        </w:tc>
        <w:tc>
          <w:tcPr>
            <w:tcW w:w="1341" w:type="dxa"/>
          </w:tcPr>
          <w:p w14:paraId="2827F4BD" w14:textId="77777777" w:rsidR="00B40C2D" w:rsidRDefault="00000000">
            <w:pPr>
              <w:rPr>
                <w:rFonts w:asciiTheme="majorEastAsia" w:eastAsiaTheme="majorEastAsia" w:hAnsiTheme="majorEastAsia" w:cs="Segoe UI" w:hint="eastAsia"/>
                <w:color w:val="404040"/>
                <w:sz w:val="16"/>
                <w:szCs w:val="16"/>
              </w:rPr>
            </w:pPr>
            <w:r>
              <w:rPr>
                <w:rFonts w:asciiTheme="majorEastAsia" w:eastAsiaTheme="majorEastAsia" w:hAnsiTheme="majorEastAsia" w:cs="Segoe UI"/>
                <w:color w:val="404040"/>
                <w:sz w:val="18"/>
                <w:szCs w:val="18"/>
              </w:rPr>
              <w:t>0.406</w:t>
            </w:r>
          </w:p>
        </w:tc>
        <w:tc>
          <w:tcPr>
            <w:tcW w:w="1341" w:type="dxa"/>
          </w:tcPr>
          <w:p w14:paraId="1FE4C59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0.629</w:t>
            </w:r>
          </w:p>
        </w:tc>
        <w:tc>
          <w:tcPr>
            <w:tcW w:w="1341" w:type="dxa"/>
          </w:tcPr>
          <w:p w14:paraId="267BE30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0.407</w:t>
            </w:r>
          </w:p>
        </w:tc>
      </w:tr>
      <w:tr w:rsidR="00B40C2D" w14:paraId="4AEC2541" w14:textId="77777777" w:rsidTr="00B40C2D">
        <w:trPr>
          <w:trHeight w:val="326"/>
        </w:trPr>
        <w:tc>
          <w:tcPr>
            <w:tcW w:w="334" w:type="dxa"/>
            <w:vAlign w:val="center"/>
          </w:tcPr>
          <w:p w14:paraId="3083907F"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424B3379"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A0292E8"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FCAA1F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0BB4C9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0.699</w:t>
            </w:r>
          </w:p>
        </w:tc>
        <w:tc>
          <w:tcPr>
            <w:tcW w:w="1341" w:type="dxa"/>
          </w:tcPr>
          <w:p w14:paraId="31A4852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0.350</w:t>
            </w:r>
          </w:p>
        </w:tc>
        <w:tc>
          <w:tcPr>
            <w:tcW w:w="1342" w:type="dxa"/>
          </w:tcPr>
          <w:p w14:paraId="0F960B9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341" w:type="dxa"/>
          </w:tcPr>
          <w:p w14:paraId="0A470C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0.412</w:t>
            </w:r>
          </w:p>
        </w:tc>
        <w:tc>
          <w:tcPr>
            <w:tcW w:w="1341" w:type="dxa"/>
          </w:tcPr>
          <w:p w14:paraId="62C0EF6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0.620</w:t>
            </w:r>
          </w:p>
        </w:tc>
        <w:tc>
          <w:tcPr>
            <w:tcW w:w="1341" w:type="dxa"/>
          </w:tcPr>
          <w:p w14:paraId="1EAC169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0.380</w:t>
            </w:r>
          </w:p>
        </w:tc>
      </w:tr>
      <w:tr w:rsidR="00B40C2D" w14:paraId="5AEFA4BF" w14:textId="77777777" w:rsidTr="00B40C2D">
        <w:trPr>
          <w:trHeight w:val="326"/>
        </w:trPr>
        <w:tc>
          <w:tcPr>
            <w:tcW w:w="334" w:type="dxa"/>
            <w:vAlign w:val="center"/>
          </w:tcPr>
          <w:p w14:paraId="605E0C7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31254D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14D2A0C"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4852F0D1"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30ED4F5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0.612</w:t>
            </w:r>
          </w:p>
        </w:tc>
        <w:tc>
          <w:tcPr>
            <w:tcW w:w="1341" w:type="dxa"/>
          </w:tcPr>
          <w:p w14:paraId="1B0915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42" w:type="dxa"/>
          </w:tcPr>
          <w:p w14:paraId="4684A3E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0.661</w:t>
            </w:r>
          </w:p>
        </w:tc>
        <w:tc>
          <w:tcPr>
            <w:tcW w:w="1341" w:type="dxa"/>
          </w:tcPr>
          <w:p w14:paraId="699124C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0.369</w:t>
            </w:r>
          </w:p>
        </w:tc>
        <w:tc>
          <w:tcPr>
            <w:tcW w:w="1341" w:type="dxa"/>
          </w:tcPr>
          <w:p w14:paraId="003C6E7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0.648</w:t>
            </w:r>
          </w:p>
        </w:tc>
        <w:tc>
          <w:tcPr>
            <w:tcW w:w="1341" w:type="dxa"/>
          </w:tcPr>
          <w:p w14:paraId="296676F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0.306</w:t>
            </w:r>
          </w:p>
        </w:tc>
      </w:tr>
      <w:tr w:rsidR="00B40C2D" w14:paraId="4C3FD8FE" w14:textId="77777777" w:rsidTr="00B40C2D">
        <w:trPr>
          <w:trHeight w:val="311"/>
        </w:trPr>
        <w:tc>
          <w:tcPr>
            <w:tcW w:w="334" w:type="dxa"/>
            <w:vAlign w:val="center"/>
          </w:tcPr>
          <w:p w14:paraId="36901DA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51CDBF6B"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D35577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2696A23"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0119AED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0.709</w:t>
            </w:r>
          </w:p>
        </w:tc>
        <w:tc>
          <w:tcPr>
            <w:tcW w:w="1341" w:type="dxa"/>
          </w:tcPr>
          <w:p w14:paraId="5156083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0.343</w:t>
            </w:r>
          </w:p>
        </w:tc>
        <w:tc>
          <w:tcPr>
            <w:tcW w:w="1342" w:type="dxa"/>
          </w:tcPr>
          <w:p w14:paraId="6C85D4B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0.743</w:t>
            </w:r>
          </w:p>
        </w:tc>
        <w:tc>
          <w:tcPr>
            <w:tcW w:w="1341" w:type="dxa"/>
          </w:tcPr>
          <w:p w14:paraId="653F22C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0.402</w:t>
            </w:r>
          </w:p>
        </w:tc>
        <w:tc>
          <w:tcPr>
            <w:tcW w:w="1341" w:type="dxa"/>
          </w:tcPr>
          <w:p w14:paraId="422667D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0.643</w:t>
            </w:r>
          </w:p>
        </w:tc>
        <w:tc>
          <w:tcPr>
            <w:tcW w:w="1341" w:type="dxa"/>
          </w:tcPr>
          <w:p w14:paraId="566A6F6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0.382</w:t>
            </w:r>
          </w:p>
        </w:tc>
      </w:tr>
      <w:tr w:rsidR="00B40C2D" w14:paraId="67A5867E" w14:textId="77777777" w:rsidTr="00B40C2D">
        <w:trPr>
          <w:trHeight w:val="326"/>
        </w:trPr>
        <w:tc>
          <w:tcPr>
            <w:tcW w:w="334" w:type="dxa"/>
            <w:vAlign w:val="center"/>
          </w:tcPr>
          <w:p w14:paraId="487472A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366007A0"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1D11687B"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3FE20AF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5DCBFF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0.699</w:t>
            </w:r>
          </w:p>
        </w:tc>
        <w:tc>
          <w:tcPr>
            <w:tcW w:w="1341" w:type="dxa"/>
          </w:tcPr>
          <w:p w14:paraId="7625D82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0.348</w:t>
            </w:r>
          </w:p>
        </w:tc>
        <w:tc>
          <w:tcPr>
            <w:tcW w:w="1342" w:type="dxa"/>
          </w:tcPr>
          <w:p w14:paraId="24E30F3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0.748</w:t>
            </w:r>
          </w:p>
        </w:tc>
        <w:tc>
          <w:tcPr>
            <w:tcW w:w="1341" w:type="dxa"/>
          </w:tcPr>
          <w:p w14:paraId="35CB74F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0.410</w:t>
            </w:r>
          </w:p>
        </w:tc>
        <w:tc>
          <w:tcPr>
            <w:tcW w:w="1341" w:type="dxa"/>
          </w:tcPr>
          <w:p w14:paraId="595211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0.618</w:t>
            </w:r>
          </w:p>
        </w:tc>
        <w:tc>
          <w:tcPr>
            <w:tcW w:w="1341" w:type="dxa"/>
          </w:tcPr>
          <w:p w14:paraId="3C7ECDA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0.398</w:t>
            </w:r>
          </w:p>
        </w:tc>
      </w:tr>
      <w:tr w:rsidR="00B40C2D" w14:paraId="04CB85D4" w14:textId="77777777" w:rsidTr="00B40C2D">
        <w:trPr>
          <w:trHeight w:val="326"/>
        </w:trPr>
        <w:tc>
          <w:tcPr>
            <w:tcW w:w="334" w:type="dxa"/>
            <w:vAlign w:val="center"/>
          </w:tcPr>
          <w:p w14:paraId="54257A65"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3CD560B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60ED09A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00982117"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673A258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0.751</w:t>
            </w:r>
          </w:p>
        </w:tc>
        <w:tc>
          <w:tcPr>
            <w:tcW w:w="1341" w:type="dxa"/>
          </w:tcPr>
          <w:p w14:paraId="3CBE926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0.408</w:t>
            </w:r>
          </w:p>
        </w:tc>
        <w:tc>
          <w:tcPr>
            <w:tcW w:w="1342" w:type="dxa"/>
          </w:tcPr>
          <w:p w14:paraId="760316A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0.801</w:t>
            </w:r>
          </w:p>
        </w:tc>
        <w:tc>
          <w:tcPr>
            <w:tcW w:w="1341" w:type="dxa"/>
          </w:tcPr>
          <w:p w14:paraId="6F88654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0.463</w:t>
            </w:r>
          </w:p>
        </w:tc>
        <w:tc>
          <w:tcPr>
            <w:tcW w:w="1341" w:type="dxa"/>
          </w:tcPr>
          <w:p w14:paraId="5EA2043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0.622</w:t>
            </w:r>
          </w:p>
        </w:tc>
        <w:tc>
          <w:tcPr>
            <w:tcW w:w="1341" w:type="dxa"/>
          </w:tcPr>
          <w:p w14:paraId="0888D7C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0.481</w:t>
            </w:r>
          </w:p>
        </w:tc>
      </w:tr>
      <w:tr w:rsidR="00B40C2D" w14:paraId="56B65873" w14:textId="77777777" w:rsidTr="00B40C2D">
        <w:trPr>
          <w:trHeight w:val="326"/>
        </w:trPr>
        <w:tc>
          <w:tcPr>
            <w:tcW w:w="334" w:type="dxa"/>
            <w:vAlign w:val="center"/>
          </w:tcPr>
          <w:p w14:paraId="0ED9CBE4"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546FB44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5C65034E"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A3CA18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730E6C5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0.735</w:t>
            </w:r>
          </w:p>
        </w:tc>
        <w:tc>
          <w:tcPr>
            <w:tcW w:w="1341" w:type="dxa"/>
          </w:tcPr>
          <w:p w14:paraId="0B6063A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0.400</w:t>
            </w:r>
          </w:p>
        </w:tc>
        <w:tc>
          <w:tcPr>
            <w:tcW w:w="1342" w:type="dxa"/>
          </w:tcPr>
          <w:p w14:paraId="0BDC1AA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0.814</w:t>
            </w:r>
          </w:p>
        </w:tc>
        <w:tc>
          <w:tcPr>
            <w:tcW w:w="1341" w:type="dxa"/>
          </w:tcPr>
          <w:p w14:paraId="15F6F40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341" w:type="dxa"/>
          </w:tcPr>
          <w:p w14:paraId="3DFC59F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341" w:type="dxa"/>
          </w:tcPr>
          <w:p w14:paraId="1514B6D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0.454</w:t>
            </w:r>
          </w:p>
        </w:tc>
      </w:tr>
      <w:tr w:rsidR="00B40C2D" w14:paraId="24FD1B39" w14:textId="77777777" w:rsidTr="00B40C2D">
        <w:trPr>
          <w:trHeight w:val="326"/>
        </w:trPr>
        <w:tc>
          <w:tcPr>
            <w:tcW w:w="334" w:type="dxa"/>
            <w:vAlign w:val="center"/>
          </w:tcPr>
          <w:p w14:paraId="2C6C1C87"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4A8F3E56"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7457342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5079480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57CD693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0.730</w:t>
            </w:r>
          </w:p>
        </w:tc>
        <w:tc>
          <w:tcPr>
            <w:tcW w:w="1341" w:type="dxa"/>
          </w:tcPr>
          <w:p w14:paraId="7E497A8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0.369</w:t>
            </w:r>
          </w:p>
        </w:tc>
        <w:tc>
          <w:tcPr>
            <w:tcW w:w="1342" w:type="dxa"/>
          </w:tcPr>
          <w:p w14:paraId="63EE854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0.790</w:t>
            </w:r>
          </w:p>
        </w:tc>
        <w:tc>
          <w:tcPr>
            <w:tcW w:w="1341" w:type="dxa"/>
          </w:tcPr>
          <w:p w14:paraId="507CC95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0.426</w:t>
            </w:r>
          </w:p>
        </w:tc>
        <w:tc>
          <w:tcPr>
            <w:tcW w:w="1341" w:type="dxa"/>
          </w:tcPr>
          <w:p w14:paraId="5E44FDC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0.599</w:t>
            </w:r>
          </w:p>
        </w:tc>
        <w:tc>
          <w:tcPr>
            <w:tcW w:w="1341" w:type="dxa"/>
          </w:tcPr>
          <w:p w14:paraId="17C96A3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color w:val="404040"/>
                <w:sz w:val="18"/>
                <w:szCs w:val="18"/>
              </w:rPr>
              <w:t>0.411</w:t>
            </w:r>
          </w:p>
        </w:tc>
      </w:tr>
      <w:tr w:rsidR="00B40C2D" w14:paraId="30EC1A88" w14:textId="77777777" w:rsidTr="00B40C2D">
        <w:trPr>
          <w:trHeight w:val="311"/>
        </w:trPr>
        <w:tc>
          <w:tcPr>
            <w:tcW w:w="334" w:type="dxa"/>
            <w:vAlign w:val="center"/>
          </w:tcPr>
          <w:p w14:paraId="1D0A1F9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286BB5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72F5AE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7EBE4765" w14:textId="77777777" w:rsidR="00B40C2D" w:rsidRDefault="00B40C2D">
            <w:pPr>
              <w:rPr>
                <w:rFonts w:asciiTheme="majorEastAsia" w:eastAsiaTheme="majorEastAsia" w:hAnsiTheme="majorEastAsia" w:cs="Segoe UI" w:hint="eastAsia"/>
                <w:color w:val="404040"/>
                <w:sz w:val="18"/>
                <w:szCs w:val="18"/>
              </w:rPr>
            </w:pPr>
          </w:p>
        </w:tc>
        <w:tc>
          <w:tcPr>
            <w:tcW w:w="1341" w:type="dxa"/>
          </w:tcPr>
          <w:p w14:paraId="64C5EFD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0.711</w:t>
            </w:r>
          </w:p>
        </w:tc>
        <w:tc>
          <w:tcPr>
            <w:tcW w:w="1341" w:type="dxa"/>
          </w:tcPr>
          <w:p w14:paraId="188EF89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0.368</w:t>
            </w:r>
          </w:p>
        </w:tc>
        <w:tc>
          <w:tcPr>
            <w:tcW w:w="1342" w:type="dxa"/>
          </w:tcPr>
          <w:p w14:paraId="3FE307B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0.761</w:t>
            </w:r>
          </w:p>
        </w:tc>
        <w:tc>
          <w:tcPr>
            <w:tcW w:w="1341" w:type="dxa"/>
          </w:tcPr>
          <w:p w14:paraId="03AB583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0.438</w:t>
            </w:r>
          </w:p>
        </w:tc>
        <w:tc>
          <w:tcPr>
            <w:tcW w:w="1341" w:type="dxa"/>
          </w:tcPr>
          <w:p w14:paraId="5F64D9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0.622</w:t>
            </w:r>
          </w:p>
        </w:tc>
        <w:tc>
          <w:tcPr>
            <w:tcW w:w="1341" w:type="dxa"/>
          </w:tcPr>
          <w:p w14:paraId="3AF700F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0.427</w:t>
            </w:r>
          </w:p>
        </w:tc>
      </w:tr>
      <w:tr w:rsidR="00B40C2D" w14:paraId="603599FA" w14:textId="77777777" w:rsidTr="00B40C2D">
        <w:trPr>
          <w:trHeight w:val="326"/>
        </w:trPr>
        <w:tc>
          <w:tcPr>
            <w:tcW w:w="334" w:type="dxa"/>
            <w:vAlign w:val="center"/>
          </w:tcPr>
          <w:p w14:paraId="6CC2AC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035A9D1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64A1FCD" w14:textId="77777777" w:rsidR="00B40C2D" w:rsidRDefault="00B40C2D">
            <w:pPr>
              <w:rPr>
                <w:rFonts w:asciiTheme="majorEastAsia" w:eastAsiaTheme="majorEastAsia" w:hAnsiTheme="majorEastAsia" w:cs="Segoe UI" w:hint="eastAsia"/>
                <w:color w:val="404040"/>
                <w:sz w:val="18"/>
                <w:szCs w:val="18"/>
              </w:rPr>
            </w:pPr>
          </w:p>
        </w:tc>
        <w:tc>
          <w:tcPr>
            <w:tcW w:w="335" w:type="dxa"/>
            <w:vAlign w:val="center"/>
          </w:tcPr>
          <w:p w14:paraId="24B2D3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7B5AD3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0.727</w:t>
            </w:r>
          </w:p>
        </w:tc>
        <w:tc>
          <w:tcPr>
            <w:tcW w:w="1341" w:type="dxa"/>
          </w:tcPr>
          <w:p w14:paraId="667019D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0.378</w:t>
            </w:r>
          </w:p>
        </w:tc>
        <w:tc>
          <w:tcPr>
            <w:tcW w:w="1342" w:type="dxa"/>
          </w:tcPr>
          <w:p w14:paraId="759CD048"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color w:val="404040"/>
                <w:sz w:val="18"/>
                <w:szCs w:val="18"/>
              </w:rPr>
              <w:t>0.781</w:t>
            </w:r>
          </w:p>
        </w:tc>
        <w:tc>
          <w:tcPr>
            <w:tcW w:w="1341" w:type="dxa"/>
          </w:tcPr>
          <w:p w14:paraId="1BEF3F5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0.442</w:t>
            </w:r>
          </w:p>
        </w:tc>
        <w:tc>
          <w:tcPr>
            <w:tcW w:w="1341" w:type="dxa"/>
          </w:tcPr>
          <w:p w14:paraId="445C9BE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0.633</w:t>
            </w:r>
          </w:p>
        </w:tc>
        <w:tc>
          <w:tcPr>
            <w:tcW w:w="1341" w:type="dxa"/>
          </w:tcPr>
          <w:p w14:paraId="2FD6D85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0.404</w:t>
            </w:r>
          </w:p>
        </w:tc>
      </w:tr>
      <w:tr w:rsidR="00B40C2D" w14:paraId="573B2188" w14:textId="77777777" w:rsidTr="00B40C2D">
        <w:trPr>
          <w:trHeight w:val="326"/>
        </w:trPr>
        <w:tc>
          <w:tcPr>
            <w:tcW w:w="334" w:type="dxa"/>
            <w:vAlign w:val="center"/>
          </w:tcPr>
          <w:p w14:paraId="0361040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3BE381B1"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21F3294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0883A20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3CEB851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0.736</w:t>
            </w:r>
          </w:p>
        </w:tc>
        <w:tc>
          <w:tcPr>
            <w:tcW w:w="1341" w:type="dxa"/>
          </w:tcPr>
          <w:p w14:paraId="325E87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0.378</w:t>
            </w:r>
          </w:p>
        </w:tc>
        <w:tc>
          <w:tcPr>
            <w:tcW w:w="1342" w:type="dxa"/>
          </w:tcPr>
          <w:p w14:paraId="6F83C44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0.792</w:t>
            </w:r>
          </w:p>
        </w:tc>
        <w:tc>
          <w:tcPr>
            <w:tcW w:w="1341" w:type="dxa"/>
          </w:tcPr>
          <w:p w14:paraId="2D0EBD2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0.437</w:t>
            </w:r>
          </w:p>
        </w:tc>
        <w:tc>
          <w:tcPr>
            <w:tcW w:w="1341" w:type="dxa"/>
          </w:tcPr>
          <w:p w14:paraId="297A57E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0.606</w:t>
            </w:r>
          </w:p>
        </w:tc>
        <w:tc>
          <w:tcPr>
            <w:tcW w:w="1341" w:type="dxa"/>
          </w:tcPr>
          <w:p w14:paraId="558B2C9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0.431</w:t>
            </w:r>
          </w:p>
        </w:tc>
      </w:tr>
      <w:tr w:rsidR="00B40C2D" w14:paraId="41B59636" w14:textId="77777777" w:rsidTr="00B40C2D">
        <w:trPr>
          <w:trHeight w:val="326"/>
        </w:trPr>
        <w:tc>
          <w:tcPr>
            <w:tcW w:w="334" w:type="dxa"/>
            <w:vAlign w:val="center"/>
          </w:tcPr>
          <w:p w14:paraId="1282357A" w14:textId="77777777" w:rsidR="00B40C2D" w:rsidRDefault="00B40C2D">
            <w:pPr>
              <w:rPr>
                <w:rFonts w:asciiTheme="majorEastAsia" w:eastAsiaTheme="majorEastAsia" w:hAnsiTheme="majorEastAsia" w:cs="Segoe UI" w:hint="eastAsia"/>
                <w:color w:val="404040"/>
                <w:sz w:val="18"/>
                <w:szCs w:val="18"/>
              </w:rPr>
            </w:pPr>
          </w:p>
        </w:tc>
        <w:tc>
          <w:tcPr>
            <w:tcW w:w="334" w:type="dxa"/>
            <w:vAlign w:val="center"/>
          </w:tcPr>
          <w:p w14:paraId="284A3F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436CEB6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448EF55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3B6672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1341" w:type="dxa"/>
          </w:tcPr>
          <w:p w14:paraId="64429F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0.405</w:t>
            </w:r>
          </w:p>
        </w:tc>
        <w:tc>
          <w:tcPr>
            <w:tcW w:w="1342" w:type="dxa"/>
          </w:tcPr>
          <w:p w14:paraId="6AF8F0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0.800</w:t>
            </w:r>
          </w:p>
        </w:tc>
        <w:tc>
          <w:tcPr>
            <w:tcW w:w="1341" w:type="dxa"/>
          </w:tcPr>
          <w:p w14:paraId="6B363D6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341" w:type="dxa"/>
          </w:tcPr>
          <w:p w14:paraId="1ADF159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0.615</w:t>
            </w:r>
          </w:p>
        </w:tc>
        <w:tc>
          <w:tcPr>
            <w:tcW w:w="1341" w:type="dxa"/>
          </w:tcPr>
          <w:p w14:paraId="7B4C85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0.458</w:t>
            </w:r>
          </w:p>
        </w:tc>
      </w:tr>
      <w:tr w:rsidR="00B40C2D" w14:paraId="4BBA6B36" w14:textId="77777777" w:rsidTr="00B40C2D">
        <w:trPr>
          <w:trHeight w:val="326"/>
        </w:trPr>
        <w:tc>
          <w:tcPr>
            <w:tcW w:w="334" w:type="dxa"/>
            <w:vAlign w:val="center"/>
          </w:tcPr>
          <w:p w14:paraId="6E506AF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1E2434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4" w:type="dxa"/>
            <w:vAlign w:val="center"/>
          </w:tcPr>
          <w:p w14:paraId="6E0F9F7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335" w:type="dxa"/>
            <w:vAlign w:val="center"/>
          </w:tcPr>
          <w:p w14:paraId="6864C47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341" w:type="dxa"/>
          </w:tcPr>
          <w:p w14:paraId="7CD1BA01"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0.775</w:t>
            </w:r>
          </w:p>
        </w:tc>
        <w:tc>
          <w:tcPr>
            <w:tcW w:w="1341" w:type="dxa"/>
          </w:tcPr>
          <w:p w14:paraId="14D9C21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color w:val="404040"/>
                <w:sz w:val="18"/>
                <w:szCs w:val="18"/>
              </w:rPr>
              <w:t>0.433</w:t>
            </w:r>
          </w:p>
        </w:tc>
        <w:tc>
          <w:tcPr>
            <w:tcW w:w="1342" w:type="dxa"/>
          </w:tcPr>
          <w:p w14:paraId="00F7741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b/>
                <w:bCs/>
                <w:color w:val="404040"/>
                <w:sz w:val="18"/>
                <w:szCs w:val="18"/>
              </w:rPr>
              <w:t>0.807</w:t>
            </w:r>
          </w:p>
        </w:tc>
        <w:tc>
          <w:tcPr>
            <w:tcW w:w="1341" w:type="dxa"/>
          </w:tcPr>
          <w:p w14:paraId="302CCB9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0.480</w:t>
            </w:r>
          </w:p>
        </w:tc>
        <w:tc>
          <w:tcPr>
            <w:tcW w:w="1341" w:type="dxa"/>
          </w:tcPr>
          <w:p w14:paraId="418ABBF7"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0.645</w:t>
            </w:r>
          </w:p>
        </w:tc>
        <w:tc>
          <w:tcPr>
            <w:tcW w:w="1341" w:type="dxa"/>
          </w:tcPr>
          <w:p w14:paraId="0259D7D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b/>
                <w:bCs/>
                <w:color w:val="404040"/>
                <w:sz w:val="18"/>
                <w:szCs w:val="18"/>
              </w:rPr>
              <w:t>0.464</w:t>
            </w:r>
          </w:p>
        </w:tc>
      </w:tr>
    </w:tbl>
    <w:p w14:paraId="49AFC61E" w14:textId="77777777" w:rsidR="00B40C2D" w:rsidRDefault="00B40C2D">
      <w:pPr>
        <w:ind w:firstLineChars="200" w:firstLine="480"/>
        <w:rPr>
          <w:rFonts w:asciiTheme="majorEastAsia" w:eastAsiaTheme="majorEastAsia" w:hAnsiTheme="majorEastAsia" w:cs="Segoe UI" w:hint="eastAsia"/>
          <w:color w:val="404040"/>
          <w:sz w:val="24"/>
        </w:rPr>
      </w:pPr>
    </w:p>
    <w:p w14:paraId="77505306" w14:textId="77777777" w:rsidR="00B40C2D" w:rsidRDefault="00B40C2D">
      <w:pPr>
        <w:ind w:firstLineChars="200" w:firstLine="480"/>
        <w:rPr>
          <w:rFonts w:asciiTheme="majorEastAsia" w:eastAsiaTheme="majorEastAsia" w:hAnsiTheme="majorEastAsia" w:cs="Segoe UI" w:hint="eastAsia"/>
          <w:color w:val="404040"/>
          <w:sz w:val="24"/>
        </w:rPr>
      </w:pPr>
    </w:p>
    <w:p w14:paraId="5F8DFD1F"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实验结果表明，采用全部的CircLoc在AUC、AUPR、F1、Recall、Precision分数指标上均取得最高值，Accuracy取得第二高，</w:t>
      </w:r>
      <w:r>
        <w:rPr>
          <w:rFonts w:asciiTheme="majorEastAsia" w:eastAsiaTheme="majorEastAsia" w:hAnsiTheme="majorEastAsia" w:cs="Segoe UI"/>
          <w:color w:val="404040"/>
          <w:sz w:val="24"/>
        </w:rPr>
        <w:t>这证实多特征协同能显著增强分类器效能。</w:t>
      </w:r>
    </w:p>
    <w:p w14:paraId="6534767C"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此外，我们统计了它在7种亚细胞定位上的表现，AUC和AUPR值分别见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_Ref199632152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3</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_Ref199618577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hint="eastAsia"/>
          <w:color w:val="404040"/>
          <w:sz w:val="24"/>
        </w:rPr>
        <w:fldChar w:fldCharType="separate"/>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_Ref199631620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4</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。对比显示，CircLoc在5种定位(</w:t>
      </w:r>
      <w:r>
        <w:rPr>
          <w:rFonts w:asciiTheme="majorEastAsia" w:eastAsiaTheme="majorEastAsia" w:hAnsiTheme="majorEastAsia" w:cs="Segoe UI"/>
          <w:color w:val="404040"/>
          <w:sz w:val="24"/>
        </w:rPr>
        <w:t>Chromatin</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)上获得最高AUC值，同时在5种定位(</w:t>
      </w:r>
      <w:r>
        <w:rPr>
          <w:rFonts w:asciiTheme="majorEastAsia" w:eastAsiaTheme="majorEastAsia" w:hAnsiTheme="majorEastAsia" w:cs="Segoe UI"/>
          <w:color w:val="404040"/>
          <w:sz w:val="24"/>
        </w:rPr>
        <w:t>Nucleoplasm</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Membrane</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 xml:space="preserve">Cytosol </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Cytoplasm</w:t>
      </w:r>
      <w:r>
        <w:rPr>
          <w:rFonts w:asciiTheme="majorEastAsia" w:eastAsiaTheme="majorEastAsia" w:hAnsiTheme="majorEastAsia" w:cs="Segoe UI" w:hint="eastAsia"/>
          <w:color w:val="404040"/>
          <w:sz w:val="24"/>
        </w:rPr>
        <w:t>)上取得最高的AUPR值。这表明CircLoc显著优于</w:t>
      </w:r>
      <w:r>
        <w:rPr>
          <w:rFonts w:asciiTheme="majorEastAsia" w:eastAsiaTheme="majorEastAsia" w:hAnsiTheme="majorEastAsia" w:cs="Segoe UI"/>
          <w:color w:val="404040"/>
          <w:sz w:val="24"/>
        </w:rPr>
        <w:t>其他缺失部分特征的分类器，每个特征类型都对模型具有独特贡献。</w:t>
      </w:r>
    </w:p>
    <w:p w14:paraId="28B2664A"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为了探究数量与性能的关系，我们把15个分类器</w:t>
      </w:r>
      <w:proofErr w:type="gramStart"/>
      <w:r>
        <w:rPr>
          <w:rFonts w:asciiTheme="majorEastAsia" w:eastAsiaTheme="majorEastAsia" w:hAnsiTheme="majorEastAsia" w:cs="Segoe UI" w:hint="eastAsia"/>
          <w:color w:val="404040"/>
          <w:sz w:val="24"/>
        </w:rPr>
        <w:t>按特征</w:t>
      </w:r>
      <w:proofErr w:type="gramEnd"/>
      <w:r>
        <w:rPr>
          <w:rFonts w:asciiTheme="majorEastAsia" w:eastAsiaTheme="majorEastAsia" w:hAnsiTheme="majorEastAsia" w:cs="Segoe UI" w:hint="eastAsia"/>
          <w:color w:val="404040"/>
          <w:sz w:val="24"/>
        </w:rPr>
        <w:t>类型数量分为四组，CircLoc作为第4组(4类特征)，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_Ref199880712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7</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和</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REF _Ref199880761 \h</w:instrText>
      </w:r>
      <w:r>
        <w:rPr>
          <w:rFonts w:asciiTheme="majorEastAsia" w:eastAsiaTheme="majorEastAsia" w:hAnsiTheme="majorEastAsia" w:cs="Segoe UI"/>
          <w:color w:val="404040"/>
          <w:sz w:val="24"/>
        </w:rPr>
        <w:instrText xml:space="preserve">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Figure 8</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显示，</w:t>
      </w:r>
      <w:r>
        <w:rPr>
          <w:rFonts w:asciiTheme="majorEastAsia" w:eastAsiaTheme="majorEastAsia" w:hAnsiTheme="majorEastAsia" w:cs="Segoe UI"/>
          <w:color w:val="404040"/>
          <w:sz w:val="24"/>
        </w:rPr>
        <w:t>在7种亚细胞定位的AUC和AUPR指标上均呈现严格单调上升趋势</w:t>
      </w:r>
      <w:r>
        <w:rPr>
          <w:rFonts w:asciiTheme="majorEastAsia" w:eastAsiaTheme="majorEastAsia" w:hAnsiTheme="majorEastAsia" w:cs="Segoe UI" w:hint="eastAsia"/>
          <w:color w:val="404040"/>
          <w:sz w:val="24"/>
        </w:rPr>
        <w:t>(除Nuleolus在AUPR上几乎持平外)，证明多特征融合能持续提升分类器性能。</w:t>
      </w:r>
    </w:p>
    <w:p w14:paraId="5F0AE64B" w14:textId="55242859" w:rsidR="00B40C2D" w:rsidRDefault="00000000">
      <w:pPr>
        <w:pStyle w:val="a3"/>
        <w:keepNext/>
        <w:rPr>
          <w:rFonts w:asciiTheme="majorEastAsia" w:eastAsiaTheme="majorEastAsia" w:hAnsiTheme="majorEastAsia" w:hint="eastAsia"/>
        </w:rPr>
      </w:pPr>
      <w:bookmarkStart w:id="12" w:name="_Ref199632152"/>
      <w:bookmarkStart w:id="13" w:name="_Ref199683266"/>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3</w:t>
      </w:r>
      <w:r w:rsidR="008F5276">
        <w:rPr>
          <w:rFonts w:asciiTheme="majorEastAsia" w:eastAsiaTheme="majorEastAsia" w:hAnsiTheme="majorEastAsia" w:hint="eastAsia"/>
        </w:rPr>
        <w:fldChar w:fldCharType="end"/>
      </w:r>
      <w:bookmarkEnd w:id="12"/>
      <w:r>
        <w:rPr>
          <w:rFonts w:asciiTheme="majorEastAsia" w:eastAsiaTheme="majorEastAsia" w:hAnsiTheme="majorEastAsia" w:hint="eastAsia"/>
        </w:rPr>
        <w:t>. 各亚细胞定位AUC分数</w:t>
      </w:r>
      <w:bookmarkEnd w:id="13"/>
    </w:p>
    <w:tbl>
      <w:tblPr>
        <w:tblStyle w:val="ae"/>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B40C2D" w14:paraId="35C693B2" w14:textId="77777777" w:rsidTr="00B40C2D">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4031BB0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266" w:type="dxa"/>
            <w:vAlign w:val="center"/>
          </w:tcPr>
          <w:p w14:paraId="4EE148C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266" w:type="dxa"/>
            <w:vAlign w:val="center"/>
          </w:tcPr>
          <w:p w14:paraId="33B19B1D"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267" w:type="dxa"/>
            <w:vAlign w:val="center"/>
          </w:tcPr>
          <w:p w14:paraId="3F987071"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065" w:type="dxa"/>
            <w:vAlign w:val="center"/>
          </w:tcPr>
          <w:p w14:paraId="561E6EC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Chromatin</w:t>
            </w:r>
          </w:p>
        </w:tc>
        <w:tc>
          <w:tcPr>
            <w:tcW w:w="1065" w:type="dxa"/>
            <w:vAlign w:val="center"/>
          </w:tcPr>
          <w:p w14:paraId="688C85F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Nucleoplasm</w:t>
            </w:r>
          </w:p>
        </w:tc>
        <w:tc>
          <w:tcPr>
            <w:tcW w:w="1066" w:type="dxa"/>
            <w:vAlign w:val="center"/>
          </w:tcPr>
          <w:p w14:paraId="71FBF4A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Nucleolus</w:t>
            </w:r>
          </w:p>
        </w:tc>
        <w:tc>
          <w:tcPr>
            <w:tcW w:w="1065" w:type="dxa"/>
            <w:vAlign w:val="center"/>
          </w:tcPr>
          <w:p w14:paraId="69E56CAD"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Membrane</w:t>
            </w:r>
          </w:p>
        </w:tc>
        <w:tc>
          <w:tcPr>
            <w:tcW w:w="1065" w:type="dxa"/>
            <w:vAlign w:val="center"/>
          </w:tcPr>
          <w:p w14:paraId="21872A1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Nucleus</w:t>
            </w:r>
          </w:p>
        </w:tc>
        <w:tc>
          <w:tcPr>
            <w:tcW w:w="1065" w:type="dxa"/>
            <w:vAlign w:val="center"/>
          </w:tcPr>
          <w:p w14:paraId="5966E79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Cytosol</w:t>
            </w:r>
          </w:p>
        </w:tc>
        <w:tc>
          <w:tcPr>
            <w:tcW w:w="1066" w:type="dxa"/>
            <w:vAlign w:val="center"/>
          </w:tcPr>
          <w:p w14:paraId="5BCF2B8C"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Cytoplasm</w:t>
            </w:r>
          </w:p>
        </w:tc>
      </w:tr>
      <w:tr w:rsidR="00B40C2D" w14:paraId="11101208" w14:textId="77777777" w:rsidTr="00B40C2D">
        <w:tc>
          <w:tcPr>
            <w:tcW w:w="266" w:type="dxa"/>
            <w:vAlign w:val="center"/>
          </w:tcPr>
          <w:p w14:paraId="1E1CD4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3102AB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E441CAE"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060D0366"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3C481EC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0.478</w:t>
            </w:r>
          </w:p>
        </w:tc>
        <w:tc>
          <w:tcPr>
            <w:tcW w:w="1065" w:type="dxa"/>
          </w:tcPr>
          <w:p w14:paraId="35D146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0.556</w:t>
            </w:r>
          </w:p>
        </w:tc>
        <w:tc>
          <w:tcPr>
            <w:tcW w:w="1066" w:type="dxa"/>
          </w:tcPr>
          <w:p w14:paraId="3891564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0.542</w:t>
            </w:r>
          </w:p>
        </w:tc>
        <w:tc>
          <w:tcPr>
            <w:tcW w:w="1065" w:type="dxa"/>
          </w:tcPr>
          <w:p w14:paraId="3AA6DBA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0.555</w:t>
            </w:r>
          </w:p>
        </w:tc>
        <w:tc>
          <w:tcPr>
            <w:tcW w:w="1065" w:type="dxa"/>
          </w:tcPr>
          <w:p w14:paraId="2E462A1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c>
          <w:tcPr>
            <w:tcW w:w="1065" w:type="dxa"/>
          </w:tcPr>
          <w:p w14:paraId="54C91DE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0.526</w:t>
            </w:r>
          </w:p>
        </w:tc>
        <w:tc>
          <w:tcPr>
            <w:tcW w:w="1066" w:type="dxa"/>
          </w:tcPr>
          <w:p w14:paraId="428C07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0.572</w:t>
            </w:r>
          </w:p>
        </w:tc>
      </w:tr>
      <w:tr w:rsidR="00B40C2D" w14:paraId="47C73F08" w14:textId="77777777" w:rsidTr="00B40C2D">
        <w:tc>
          <w:tcPr>
            <w:tcW w:w="266" w:type="dxa"/>
            <w:vAlign w:val="center"/>
          </w:tcPr>
          <w:p w14:paraId="309072A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08A6D6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9938C8A"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3C836399"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1790B9C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0.678</w:t>
            </w:r>
          </w:p>
        </w:tc>
        <w:tc>
          <w:tcPr>
            <w:tcW w:w="1065" w:type="dxa"/>
          </w:tcPr>
          <w:p w14:paraId="2633CEE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0.603</w:t>
            </w:r>
          </w:p>
        </w:tc>
        <w:tc>
          <w:tcPr>
            <w:tcW w:w="1066" w:type="dxa"/>
          </w:tcPr>
          <w:p w14:paraId="2C9626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1065" w:type="dxa"/>
          </w:tcPr>
          <w:p w14:paraId="174DE7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0.643</w:t>
            </w:r>
          </w:p>
        </w:tc>
        <w:tc>
          <w:tcPr>
            <w:tcW w:w="1065" w:type="dxa"/>
          </w:tcPr>
          <w:p w14:paraId="22A90FF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0.624</w:t>
            </w:r>
          </w:p>
        </w:tc>
        <w:tc>
          <w:tcPr>
            <w:tcW w:w="1065" w:type="dxa"/>
          </w:tcPr>
          <w:p w14:paraId="4AD75A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0.518</w:t>
            </w:r>
          </w:p>
        </w:tc>
        <w:tc>
          <w:tcPr>
            <w:tcW w:w="1066" w:type="dxa"/>
          </w:tcPr>
          <w:p w14:paraId="42C2D73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0.617</w:t>
            </w:r>
          </w:p>
        </w:tc>
      </w:tr>
      <w:tr w:rsidR="00B40C2D" w14:paraId="0B7946D9" w14:textId="77777777" w:rsidTr="00B40C2D">
        <w:tc>
          <w:tcPr>
            <w:tcW w:w="266" w:type="dxa"/>
            <w:vAlign w:val="center"/>
          </w:tcPr>
          <w:p w14:paraId="41C9FEE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D43E9EE"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1725A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0B106B5E"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0FF3B30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065" w:type="dxa"/>
          </w:tcPr>
          <w:p w14:paraId="132861D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0.684</w:t>
            </w:r>
          </w:p>
        </w:tc>
        <w:tc>
          <w:tcPr>
            <w:tcW w:w="1066" w:type="dxa"/>
          </w:tcPr>
          <w:p w14:paraId="0F3D914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0.690</w:t>
            </w:r>
          </w:p>
        </w:tc>
        <w:tc>
          <w:tcPr>
            <w:tcW w:w="1065" w:type="dxa"/>
          </w:tcPr>
          <w:p w14:paraId="47FC12E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5" w:type="dxa"/>
          </w:tcPr>
          <w:p w14:paraId="2C6E499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5" w:type="dxa"/>
          </w:tcPr>
          <w:p w14:paraId="1E0AE52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0.675</w:t>
            </w:r>
          </w:p>
        </w:tc>
        <w:tc>
          <w:tcPr>
            <w:tcW w:w="1066" w:type="dxa"/>
          </w:tcPr>
          <w:p w14:paraId="2304D55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0.793</w:t>
            </w:r>
          </w:p>
        </w:tc>
      </w:tr>
      <w:tr w:rsidR="00B40C2D" w14:paraId="5C84F508" w14:textId="77777777" w:rsidTr="00B40C2D">
        <w:tc>
          <w:tcPr>
            <w:tcW w:w="266" w:type="dxa"/>
            <w:vAlign w:val="center"/>
          </w:tcPr>
          <w:p w14:paraId="469F96F3"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36EB0E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884A850"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1439F99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0F2867A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c>
          <w:tcPr>
            <w:tcW w:w="1065" w:type="dxa"/>
          </w:tcPr>
          <w:p w14:paraId="1C1C3C3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0.655</w:t>
            </w:r>
          </w:p>
        </w:tc>
        <w:tc>
          <w:tcPr>
            <w:tcW w:w="1066" w:type="dxa"/>
          </w:tcPr>
          <w:p w14:paraId="023E003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0.670</w:t>
            </w:r>
          </w:p>
        </w:tc>
        <w:tc>
          <w:tcPr>
            <w:tcW w:w="1065" w:type="dxa"/>
          </w:tcPr>
          <w:p w14:paraId="1F9A09D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0.702</w:t>
            </w:r>
          </w:p>
        </w:tc>
        <w:tc>
          <w:tcPr>
            <w:tcW w:w="1065" w:type="dxa"/>
          </w:tcPr>
          <w:p w14:paraId="7378D6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065" w:type="dxa"/>
          </w:tcPr>
          <w:p w14:paraId="7DDA0D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0.695</w:t>
            </w:r>
          </w:p>
        </w:tc>
        <w:tc>
          <w:tcPr>
            <w:tcW w:w="1066" w:type="dxa"/>
          </w:tcPr>
          <w:p w14:paraId="314C708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0.786</w:t>
            </w:r>
          </w:p>
        </w:tc>
      </w:tr>
      <w:tr w:rsidR="00B40C2D" w14:paraId="17D570CB" w14:textId="77777777" w:rsidTr="00B40C2D">
        <w:tc>
          <w:tcPr>
            <w:tcW w:w="266" w:type="dxa"/>
            <w:vAlign w:val="center"/>
          </w:tcPr>
          <w:p w14:paraId="73B90A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CD58F9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7F3919D"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66261F7B"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5F929DA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0.634</w:t>
            </w:r>
          </w:p>
        </w:tc>
        <w:tc>
          <w:tcPr>
            <w:tcW w:w="1065" w:type="dxa"/>
          </w:tcPr>
          <w:p w14:paraId="16B7060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0.558</w:t>
            </w:r>
          </w:p>
        </w:tc>
        <w:tc>
          <w:tcPr>
            <w:tcW w:w="1066" w:type="dxa"/>
          </w:tcPr>
          <w:p w14:paraId="067020A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0.732</w:t>
            </w:r>
          </w:p>
        </w:tc>
        <w:tc>
          <w:tcPr>
            <w:tcW w:w="1065" w:type="dxa"/>
          </w:tcPr>
          <w:p w14:paraId="16A0764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0.639</w:t>
            </w:r>
          </w:p>
        </w:tc>
        <w:tc>
          <w:tcPr>
            <w:tcW w:w="1065" w:type="dxa"/>
          </w:tcPr>
          <w:p w14:paraId="24E6B86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0.598</w:t>
            </w:r>
          </w:p>
        </w:tc>
        <w:tc>
          <w:tcPr>
            <w:tcW w:w="1065" w:type="dxa"/>
          </w:tcPr>
          <w:p w14:paraId="423CC76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0.513</w:t>
            </w:r>
          </w:p>
        </w:tc>
        <w:tc>
          <w:tcPr>
            <w:tcW w:w="1066" w:type="dxa"/>
          </w:tcPr>
          <w:p w14:paraId="30BB2DB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0.587</w:t>
            </w:r>
          </w:p>
        </w:tc>
      </w:tr>
      <w:tr w:rsidR="00B40C2D" w14:paraId="2933AA18" w14:textId="77777777" w:rsidTr="00B40C2D">
        <w:tc>
          <w:tcPr>
            <w:tcW w:w="266" w:type="dxa"/>
            <w:vAlign w:val="center"/>
          </w:tcPr>
          <w:p w14:paraId="7254CEC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A8D5028"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5A48DA4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37EAEE7F"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4ACC5F0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0.615</w:t>
            </w:r>
          </w:p>
        </w:tc>
        <w:tc>
          <w:tcPr>
            <w:tcW w:w="1065" w:type="dxa"/>
          </w:tcPr>
          <w:p w14:paraId="1D66175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6" w:type="dxa"/>
          </w:tcPr>
          <w:p w14:paraId="709A13E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0.682</w:t>
            </w:r>
          </w:p>
        </w:tc>
        <w:tc>
          <w:tcPr>
            <w:tcW w:w="1065" w:type="dxa"/>
          </w:tcPr>
          <w:p w14:paraId="61F9B6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0.649</w:t>
            </w:r>
          </w:p>
        </w:tc>
        <w:tc>
          <w:tcPr>
            <w:tcW w:w="1065" w:type="dxa"/>
          </w:tcPr>
          <w:p w14:paraId="43DCCCA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0.685</w:t>
            </w:r>
          </w:p>
        </w:tc>
        <w:tc>
          <w:tcPr>
            <w:tcW w:w="1065" w:type="dxa"/>
          </w:tcPr>
          <w:p w14:paraId="08A350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0.644</w:t>
            </w:r>
          </w:p>
        </w:tc>
        <w:tc>
          <w:tcPr>
            <w:tcW w:w="1066" w:type="dxa"/>
          </w:tcPr>
          <w:p w14:paraId="7C5021F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0.761</w:t>
            </w:r>
          </w:p>
        </w:tc>
      </w:tr>
      <w:tr w:rsidR="00B40C2D" w14:paraId="4B95A9BA" w14:textId="77777777" w:rsidTr="00B40C2D">
        <w:tc>
          <w:tcPr>
            <w:tcW w:w="266" w:type="dxa"/>
            <w:vAlign w:val="center"/>
          </w:tcPr>
          <w:p w14:paraId="3E11186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0E15440"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4F69DD43"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B5A2E2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3DA96DB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0.578</w:t>
            </w:r>
          </w:p>
        </w:tc>
        <w:tc>
          <w:tcPr>
            <w:tcW w:w="1065" w:type="dxa"/>
          </w:tcPr>
          <w:p w14:paraId="27E25C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0.669</w:t>
            </w:r>
          </w:p>
        </w:tc>
        <w:tc>
          <w:tcPr>
            <w:tcW w:w="1066" w:type="dxa"/>
          </w:tcPr>
          <w:p w14:paraId="3206202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0.770</w:t>
            </w:r>
          </w:p>
        </w:tc>
        <w:tc>
          <w:tcPr>
            <w:tcW w:w="1065" w:type="dxa"/>
          </w:tcPr>
          <w:p w14:paraId="300BA30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5" w:type="dxa"/>
          </w:tcPr>
          <w:p w14:paraId="497AF66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5" w:type="dxa"/>
          </w:tcPr>
          <w:p w14:paraId="0D4A93C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0.688</w:t>
            </w:r>
          </w:p>
        </w:tc>
        <w:tc>
          <w:tcPr>
            <w:tcW w:w="1066" w:type="dxa"/>
          </w:tcPr>
          <w:p w14:paraId="0112DC2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0.789</w:t>
            </w:r>
          </w:p>
        </w:tc>
      </w:tr>
      <w:tr w:rsidR="00B40C2D" w14:paraId="12AA82FB" w14:textId="77777777" w:rsidTr="00B40C2D">
        <w:tc>
          <w:tcPr>
            <w:tcW w:w="266" w:type="dxa"/>
            <w:vAlign w:val="center"/>
          </w:tcPr>
          <w:p w14:paraId="479D165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06E0D3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8FF125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7C6F4F2C"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553D345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0.765</w:t>
            </w:r>
          </w:p>
        </w:tc>
        <w:tc>
          <w:tcPr>
            <w:tcW w:w="1065" w:type="dxa"/>
          </w:tcPr>
          <w:p w14:paraId="280D89B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0.713</w:t>
            </w:r>
          </w:p>
        </w:tc>
        <w:tc>
          <w:tcPr>
            <w:tcW w:w="1066" w:type="dxa"/>
          </w:tcPr>
          <w:p w14:paraId="2A689CA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065" w:type="dxa"/>
          </w:tcPr>
          <w:p w14:paraId="0A4E79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0.743</w:t>
            </w:r>
          </w:p>
        </w:tc>
        <w:tc>
          <w:tcPr>
            <w:tcW w:w="1065" w:type="dxa"/>
          </w:tcPr>
          <w:p w14:paraId="7F9709B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0.751</w:t>
            </w:r>
          </w:p>
        </w:tc>
        <w:tc>
          <w:tcPr>
            <w:tcW w:w="1065" w:type="dxa"/>
          </w:tcPr>
          <w:p w14:paraId="605DC8B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0.708</w:t>
            </w:r>
          </w:p>
        </w:tc>
        <w:tc>
          <w:tcPr>
            <w:tcW w:w="1066" w:type="dxa"/>
          </w:tcPr>
          <w:p w14:paraId="08E9F6B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0.811</w:t>
            </w:r>
          </w:p>
        </w:tc>
      </w:tr>
      <w:tr w:rsidR="00B40C2D" w14:paraId="750E4197" w14:textId="77777777" w:rsidTr="00B40C2D">
        <w:tc>
          <w:tcPr>
            <w:tcW w:w="266" w:type="dxa"/>
            <w:vAlign w:val="center"/>
          </w:tcPr>
          <w:p w14:paraId="326F8903"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BE809E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FD116F9"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636B148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DFEDF6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0.701</w:t>
            </w:r>
          </w:p>
        </w:tc>
        <w:tc>
          <w:tcPr>
            <w:tcW w:w="1065" w:type="dxa"/>
          </w:tcPr>
          <w:p w14:paraId="55CE196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1066" w:type="dxa"/>
          </w:tcPr>
          <w:p w14:paraId="5EB1AF8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0.753</w:t>
            </w:r>
          </w:p>
        </w:tc>
        <w:tc>
          <w:tcPr>
            <w:tcW w:w="1065" w:type="dxa"/>
          </w:tcPr>
          <w:p w14:paraId="61A8AF5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0.740</w:t>
            </w:r>
          </w:p>
        </w:tc>
        <w:tc>
          <w:tcPr>
            <w:tcW w:w="1065" w:type="dxa"/>
          </w:tcPr>
          <w:p w14:paraId="1F5B141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0.726</w:t>
            </w:r>
          </w:p>
        </w:tc>
        <w:tc>
          <w:tcPr>
            <w:tcW w:w="1065" w:type="dxa"/>
          </w:tcPr>
          <w:p w14:paraId="041D8EE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6" w:type="dxa"/>
          </w:tcPr>
          <w:p w14:paraId="7CFF9B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0.796</w:t>
            </w:r>
          </w:p>
        </w:tc>
      </w:tr>
      <w:tr w:rsidR="00B40C2D" w14:paraId="4C87AEEA" w14:textId="77777777" w:rsidTr="00B40C2D">
        <w:tc>
          <w:tcPr>
            <w:tcW w:w="266" w:type="dxa"/>
            <w:vAlign w:val="center"/>
          </w:tcPr>
          <w:p w14:paraId="3EF7445A"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F060C55"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1613F85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172AE4D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6398FD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0.639</w:t>
            </w:r>
          </w:p>
        </w:tc>
        <w:tc>
          <w:tcPr>
            <w:tcW w:w="1065" w:type="dxa"/>
          </w:tcPr>
          <w:p w14:paraId="7F34386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6" w:type="dxa"/>
          </w:tcPr>
          <w:p w14:paraId="1164979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c>
          <w:tcPr>
            <w:tcW w:w="1065" w:type="dxa"/>
          </w:tcPr>
          <w:p w14:paraId="5B18637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0.749</w:t>
            </w:r>
          </w:p>
        </w:tc>
        <w:tc>
          <w:tcPr>
            <w:tcW w:w="1065" w:type="dxa"/>
          </w:tcPr>
          <w:p w14:paraId="51AD478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065" w:type="dxa"/>
          </w:tcPr>
          <w:p w14:paraId="7F9E5B83"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0.744</w:t>
            </w:r>
          </w:p>
        </w:tc>
        <w:tc>
          <w:tcPr>
            <w:tcW w:w="1066" w:type="dxa"/>
          </w:tcPr>
          <w:p w14:paraId="79299D6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w:t>
            </w:r>
            <w:r>
              <w:rPr>
                <w:rFonts w:asciiTheme="majorEastAsia" w:eastAsiaTheme="majorEastAsia" w:hAnsiTheme="majorEastAsia" w:cs="Segoe UI" w:hint="eastAsia"/>
                <w:color w:val="404040"/>
                <w:sz w:val="18"/>
                <w:szCs w:val="18"/>
              </w:rPr>
              <w:t>20</w:t>
            </w:r>
          </w:p>
        </w:tc>
      </w:tr>
      <w:tr w:rsidR="00B40C2D" w14:paraId="3DE79943" w14:textId="77777777" w:rsidTr="00B40C2D">
        <w:tc>
          <w:tcPr>
            <w:tcW w:w="266" w:type="dxa"/>
            <w:vAlign w:val="center"/>
          </w:tcPr>
          <w:p w14:paraId="0C4E19A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B3B02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1EBD6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1F9A5460"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7EA3AB6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0.664</w:t>
            </w:r>
          </w:p>
        </w:tc>
        <w:tc>
          <w:tcPr>
            <w:tcW w:w="1065" w:type="dxa"/>
          </w:tcPr>
          <w:p w14:paraId="67F4A2E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0.728</w:t>
            </w:r>
          </w:p>
        </w:tc>
        <w:tc>
          <w:tcPr>
            <w:tcW w:w="1066" w:type="dxa"/>
          </w:tcPr>
          <w:p w14:paraId="2F197EC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0.764</w:t>
            </w:r>
          </w:p>
        </w:tc>
        <w:tc>
          <w:tcPr>
            <w:tcW w:w="1065" w:type="dxa"/>
          </w:tcPr>
          <w:p w14:paraId="0020BD5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5" w:type="dxa"/>
          </w:tcPr>
          <w:p w14:paraId="030C2C1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0.674</w:t>
            </w:r>
          </w:p>
        </w:tc>
        <w:tc>
          <w:tcPr>
            <w:tcW w:w="1065" w:type="dxa"/>
          </w:tcPr>
          <w:p w14:paraId="0504296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0.667</w:t>
            </w:r>
          </w:p>
        </w:tc>
        <w:tc>
          <w:tcPr>
            <w:tcW w:w="1066" w:type="dxa"/>
          </w:tcPr>
          <w:p w14:paraId="0BB51B5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0.765</w:t>
            </w:r>
          </w:p>
        </w:tc>
      </w:tr>
      <w:tr w:rsidR="00B40C2D" w14:paraId="18F28C83" w14:textId="77777777" w:rsidTr="00B40C2D">
        <w:tc>
          <w:tcPr>
            <w:tcW w:w="266" w:type="dxa"/>
            <w:vAlign w:val="center"/>
          </w:tcPr>
          <w:p w14:paraId="78EF72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510069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2DA5089"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C5064A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331F5B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0.671</w:t>
            </w:r>
          </w:p>
        </w:tc>
        <w:tc>
          <w:tcPr>
            <w:tcW w:w="1065" w:type="dxa"/>
          </w:tcPr>
          <w:p w14:paraId="4EAC5D4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0.710</w:t>
            </w:r>
          </w:p>
        </w:tc>
        <w:tc>
          <w:tcPr>
            <w:tcW w:w="1066" w:type="dxa"/>
          </w:tcPr>
          <w:p w14:paraId="4583209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0.814</w:t>
            </w:r>
          </w:p>
        </w:tc>
        <w:tc>
          <w:tcPr>
            <w:tcW w:w="1065" w:type="dxa"/>
          </w:tcPr>
          <w:p w14:paraId="5285483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0.726</w:t>
            </w:r>
          </w:p>
        </w:tc>
        <w:tc>
          <w:tcPr>
            <w:tcW w:w="1065" w:type="dxa"/>
          </w:tcPr>
          <w:p w14:paraId="5E307B9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0.713</w:t>
            </w:r>
          </w:p>
        </w:tc>
        <w:tc>
          <w:tcPr>
            <w:tcW w:w="1065" w:type="dxa"/>
          </w:tcPr>
          <w:p w14:paraId="050305C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0.673</w:t>
            </w:r>
          </w:p>
        </w:tc>
        <w:tc>
          <w:tcPr>
            <w:tcW w:w="1066" w:type="dxa"/>
          </w:tcPr>
          <w:p w14:paraId="6000C78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0.780</w:t>
            </w:r>
          </w:p>
        </w:tc>
      </w:tr>
      <w:tr w:rsidR="00B40C2D" w14:paraId="7CF067FD" w14:textId="77777777" w:rsidTr="00B40C2D">
        <w:tc>
          <w:tcPr>
            <w:tcW w:w="266" w:type="dxa"/>
            <w:vAlign w:val="center"/>
          </w:tcPr>
          <w:p w14:paraId="2C053F9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065D1C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D2CDF0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7D7440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6FD26A2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0.616</w:t>
            </w:r>
          </w:p>
        </w:tc>
        <w:tc>
          <w:tcPr>
            <w:tcW w:w="1065" w:type="dxa"/>
          </w:tcPr>
          <w:p w14:paraId="763F91A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0.762</w:t>
            </w:r>
          </w:p>
        </w:tc>
        <w:tc>
          <w:tcPr>
            <w:tcW w:w="1066" w:type="dxa"/>
          </w:tcPr>
          <w:p w14:paraId="7FC420D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0.779</w:t>
            </w:r>
          </w:p>
        </w:tc>
        <w:tc>
          <w:tcPr>
            <w:tcW w:w="1065" w:type="dxa"/>
          </w:tcPr>
          <w:p w14:paraId="222BC7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0.736</w:t>
            </w:r>
          </w:p>
        </w:tc>
        <w:tc>
          <w:tcPr>
            <w:tcW w:w="1065" w:type="dxa"/>
          </w:tcPr>
          <w:p w14:paraId="0499B6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0.720</w:t>
            </w:r>
          </w:p>
        </w:tc>
        <w:tc>
          <w:tcPr>
            <w:tcW w:w="1065" w:type="dxa"/>
          </w:tcPr>
          <w:p w14:paraId="180BC7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066" w:type="dxa"/>
          </w:tcPr>
          <w:p w14:paraId="16F2D55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0.814</w:t>
            </w:r>
          </w:p>
        </w:tc>
      </w:tr>
      <w:tr w:rsidR="00B40C2D" w14:paraId="0A2D4195" w14:textId="77777777" w:rsidTr="00B40C2D">
        <w:tc>
          <w:tcPr>
            <w:tcW w:w="266" w:type="dxa"/>
            <w:vAlign w:val="center"/>
          </w:tcPr>
          <w:p w14:paraId="2DD243E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682E90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73286A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0864E86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23547B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0.733</w:t>
            </w:r>
          </w:p>
        </w:tc>
        <w:tc>
          <w:tcPr>
            <w:tcW w:w="1065" w:type="dxa"/>
          </w:tcPr>
          <w:p w14:paraId="710CC7B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0.725</w:t>
            </w:r>
          </w:p>
        </w:tc>
        <w:tc>
          <w:tcPr>
            <w:tcW w:w="1066" w:type="dxa"/>
          </w:tcPr>
          <w:p w14:paraId="1257877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0.768</w:t>
            </w:r>
          </w:p>
        </w:tc>
        <w:tc>
          <w:tcPr>
            <w:tcW w:w="1065" w:type="dxa"/>
          </w:tcPr>
          <w:p w14:paraId="42F47FA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0.750</w:t>
            </w:r>
          </w:p>
        </w:tc>
        <w:tc>
          <w:tcPr>
            <w:tcW w:w="1065" w:type="dxa"/>
          </w:tcPr>
          <w:p w14:paraId="38D0FB1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065" w:type="dxa"/>
          </w:tcPr>
          <w:p w14:paraId="443D4C4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0.714</w:t>
            </w:r>
          </w:p>
        </w:tc>
        <w:tc>
          <w:tcPr>
            <w:tcW w:w="1066" w:type="dxa"/>
          </w:tcPr>
          <w:p w14:paraId="7EA48FC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0.804</w:t>
            </w:r>
          </w:p>
        </w:tc>
      </w:tr>
      <w:tr w:rsidR="00B40C2D" w14:paraId="4C0A3E5E" w14:textId="77777777" w:rsidTr="00B40C2D">
        <w:tc>
          <w:tcPr>
            <w:tcW w:w="266" w:type="dxa"/>
            <w:vAlign w:val="center"/>
          </w:tcPr>
          <w:p w14:paraId="053994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D0B3B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2F288C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D751FA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014BB40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0.750</w:t>
            </w:r>
          </w:p>
        </w:tc>
        <w:tc>
          <w:tcPr>
            <w:tcW w:w="1065" w:type="dxa"/>
          </w:tcPr>
          <w:p w14:paraId="5045DB56"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0.790</w:t>
            </w:r>
          </w:p>
        </w:tc>
        <w:tc>
          <w:tcPr>
            <w:tcW w:w="1066" w:type="dxa"/>
          </w:tcPr>
          <w:p w14:paraId="22FC62F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0.807</w:t>
            </w:r>
          </w:p>
        </w:tc>
        <w:tc>
          <w:tcPr>
            <w:tcW w:w="1065" w:type="dxa"/>
          </w:tcPr>
          <w:p w14:paraId="476C575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0.798</w:t>
            </w:r>
          </w:p>
        </w:tc>
        <w:tc>
          <w:tcPr>
            <w:tcW w:w="1065" w:type="dxa"/>
          </w:tcPr>
          <w:p w14:paraId="225EBF3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0.728</w:t>
            </w:r>
          </w:p>
        </w:tc>
        <w:tc>
          <w:tcPr>
            <w:tcW w:w="1065" w:type="dxa"/>
          </w:tcPr>
          <w:p w14:paraId="27DAF72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0.727</w:t>
            </w:r>
          </w:p>
        </w:tc>
        <w:tc>
          <w:tcPr>
            <w:tcW w:w="1066" w:type="dxa"/>
          </w:tcPr>
          <w:p w14:paraId="1647656A" w14:textId="77777777" w:rsidR="00B40C2D" w:rsidRDefault="00000000">
            <w:pPr>
              <w:keepNex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0.824</w:t>
            </w:r>
          </w:p>
        </w:tc>
      </w:tr>
    </w:tbl>
    <w:p w14:paraId="40077217" w14:textId="77777777" w:rsidR="00B40C2D" w:rsidRDefault="00000000">
      <w:pPr>
        <w:rPr>
          <w:rFonts w:asciiTheme="majorEastAsia" w:eastAsiaTheme="majorEastAsia" w:hAnsiTheme="majorEastAsia" w:hint="eastAsia"/>
        </w:rPr>
      </w:pPr>
      <w:r>
        <w:rPr>
          <w:rFonts w:asciiTheme="majorEastAsia" w:eastAsiaTheme="majorEastAsia" w:hAnsiTheme="majorEastAsia" w:hint="eastAsia"/>
        </w:rPr>
        <w:t>α</w:t>
      </w:r>
      <w:r>
        <w:rPr>
          <w:rFonts w:asciiTheme="majorEastAsia" w:eastAsiaTheme="majorEastAsia" w:hAnsiTheme="majorEastAsia"/>
        </w:rPr>
        <w:t xml:space="preserve">: </w:t>
      </w:r>
      <w:r>
        <w:rPr>
          <w:rFonts w:asciiTheme="majorEastAsia" w:eastAsiaTheme="majorEastAsia" w:hAnsiTheme="majorEastAsia" w:hint="eastAsia"/>
        </w:rPr>
        <w:t>K-mer</w:t>
      </w:r>
      <w:r>
        <w:rPr>
          <w:rFonts w:asciiTheme="majorEastAsia" w:eastAsiaTheme="majorEastAsia" w:hAnsiTheme="majorEastAsia"/>
        </w:rPr>
        <w:t xml:space="preserve"> features</w:t>
      </w:r>
      <w:r>
        <w:rPr>
          <w:rFonts w:asciiTheme="majorEastAsia" w:eastAsiaTheme="majorEastAsia" w:hAnsiTheme="majorEastAsia" w:hint="eastAsia"/>
        </w:rPr>
        <w:t>+RCK-mer features</w:t>
      </w:r>
      <w:r>
        <w:rPr>
          <w:rFonts w:asciiTheme="majorEastAsia" w:eastAsiaTheme="majorEastAsia" w:hAnsiTheme="majorEastAsia"/>
        </w:rPr>
        <w:t>; β:</w:t>
      </w:r>
      <w:r>
        <w:rPr>
          <w:rFonts w:asciiTheme="majorEastAsia" w:eastAsiaTheme="majorEastAsia" w:hAnsiTheme="majorEastAsia" w:hint="eastAsia"/>
        </w:rPr>
        <w:t>RNAErine</w:t>
      </w:r>
      <w:r>
        <w:rPr>
          <w:rFonts w:asciiTheme="majorEastAsia" w:eastAsiaTheme="majorEastAsia" w:hAnsiTheme="majorEastAsia"/>
        </w:rPr>
        <w:t xml:space="preserve"> features; γ:</w:t>
      </w:r>
      <w:r>
        <w:rPr>
          <w:rFonts w:asciiTheme="majorEastAsia" w:eastAsiaTheme="majorEastAsia" w:hAnsiTheme="majorEastAsia" w:hint="eastAsia"/>
        </w:rPr>
        <w:t>sequence</w:t>
      </w:r>
      <w:r>
        <w:rPr>
          <w:rFonts w:asciiTheme="majorEastAsia" w:eastAsiaTheme="majorEastAsia" w:hAnsiTheme="majorEastAsia"/>
        </w:rPr>
        <w:t xml:space="preserve"> features; </w:t>
      </w:r>
      <w:r>
        <w:rPr>
          <w:rFonts w:asciiTheme="majorEastAsia" w:eastAsiaTheme="majorEastAsia" w:hAnsiTheme="majorEastAsia" w:cs="Segoe UI" w:hint="eastAsia"/>
          <w:color w:val="404040"/>
          <w:sz w:val="18"/>
          <w:szCs w:val="18"/>
        </w:rPr>
        <w:t>η</w:t>
      </w:r>
      <w:r>
        <w:rPr>
          <w:rFonts w:asciiTheme="majorEastAsia" w:eastAsiaTheme="majorEastAsia" w:hAnsiTheme="majorEastAsia"/>
        </w:rPr>
        <w:t xml:space="preserve">: </w:t>
      </w:r>
      <w:r>
        <w:rPr>
          <w:rFonts w:asciiTheme="majorEastAsia" w:eastAsiaTheme="majorEastAsia" w:hAnsiTheme="majorEastAsia" w:hint="eastAsia"/>
        </w:rPr>
        <w:t xml:space="preserve">disease </w:t>
      </w:r>
      <w:r>
        <w:rPr>
          <w:rFonts w:asciiTheme="majorEastAsia" w:eastAsiaTheme="majorEastAsia" w:hAnsiTheme="majorEastAsia"/>
        </w:rPr>
        <w:t>features</w:t>
      </w:r>
      <w:r>
        <w:rPr>
          <w:rFonts w:asciiTheme="majorEastAsia" w:eastAsiaTheme="majorEastAsia" w:hAnsiTheme="majorEastAsia" w:hint="eastAsia"/>
        </w:rPr>
        <w:t xml:space="preserve"> +drug </w:t>
      </w:r>
      <w:r>
        <w:rPr>
          <w:rFonts w:asciiTheme="majorEastAsia" w:eastAsiaTheme="majorEastAsia" w:hAnsiTheme="majorEastAsia"/>
        </w:rPr>
        <w:t>features</w:t>
      </w:r>
      <w:r>
        <w:rPr>
          <w:rFonts w:asciiTheme="majorEastAsia" w:eastAsiaTheme="majorEastAsia" w:hAnsiTheme="majorEastAsia" w:hint="eastAsia"/>
        </w:rPr>
        <w:t xml:space="preserve"> +miRNA </w:t>
      </w:r>
      <w:r>
        <w:rPr>
          <w:rFonts w:asciiTheme="majorEastAsia" w:eastAsiaTheme="majorEastAsia" w:hAnsiTheme="majorEastAsia"/>
        </w:rPr>
        <w:t>features</w:t>
      </w:r>
      <w:r>
        <w:rPr>
          <w:rFonts w:asciiTheme="majorEastAsia" w:eastAsiaTheme="majorEastAsia" w:hAnsiTheme="majorEastAsia" w:hint="eastAsia"/>
        </w:rPr>
        <w:t xml:space="preserve"> +</w:t>
      </w:r>
      <w:r>
        <w:rPr>
          <w:rFonts w:asciiTheme="majorEastAsia" w:eastAsiaTheme="majorEastAsia" w:hAnsiTheme="majorEastAsia"/>
        </w:rPr>
        <w:t>mRNA co-localization features.</w:t>
      </w:r>
    </w:p>
    <w:p w14:paraId="78B0C34E" w14:textId="078F66D6" w:rsidR="00B40C2D" w:rsidRDefault="00000000">
      <w:pPr>
        <w:pStyle w:val="a3"/>
        <w:keepNext/>
        <w:rPr>
          <w:rFonts w:asciiTheme="majorEastAsia" w:eastAsiaTheme="majorEastAsia" w:hAnsiTheme="majorEastAsia" w:hint="eastAsia"/>
        </w:rPr>
      </w:pPr>
      <w:bookmarkStart w:id="14" w:name="_Ref199631620"/>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4</w:t>
      </w:r>
      <w:r w:rsidR="008F5276">
        <w:rPr>
          <w:rFonts w:asciiTheme="majorEastAsia" w:eastAsiaTheme="majorEastAsia" w:hAnsiTheme="majorEastAsia" w:hint="eastAsia"/>
        </w:rPr>
        <w:fldChar w:fldCharType="end"/>
      </w:r>
      <w:bookmarkEnd w:id="14"/>
      <w:r>
        <w:rPr>
          <w:rFonts w:asciiTheme="majorEastAsia" w:eastAsiaTheme="majorEastAsia" w:hAnsiTheme="majorEastAsia" w:hint="eastAsia"/>
        </w:rPr>
        <w:t>. 各亚细胞定位AUPR分数</w:t>
      </w:r>
    </w:p>
    <w:tbl>
      <w:tblPr>
        <w:tblStyle w:val="ae"/>
        <w:tblW w:w="0" w:type="auto"/>
        <w:tblLayout w:type="fixed"/>
        <w:tblLook w:val="04A0" w:firstRow="1" w:lastRow="0" w:firstColumn="1" w:lastColumn="0" w:noHBand="0" w:noVBand="1"/>
      </w:tblPr>
      <w:tblGrid>
        <w:gridCol w:w="266"/>
        <w:gridCol w:w="266"/>
        <w:gridCol w:w="266"/>
        <w:gridCol w:w="267"/>
        <w:gridCol w:w="1065"/>
        <w:gridCol w:w="1065"/>
        <w:gridCol w:w="1066"/>
        <w:gridCol w:w="1065"/>
        <w:gridCol w:w="1065"/>
        <w:gridCol w:w="1065"/>
        <w:gridCol w:w="1066"/>
      </w:tblGrid>
      <w:tr w:rsidR="00B40C2D" w14:paraId="7B993C19" w14:textId="77777777" w:rsidTr="00B40C2D">
        <w:trPr>
          <w:cnfStyle w:val="100000000000" w:firstRow="1" w:lastRow="0" w:firstColumn="0" w:lastColumn="0" w:oddVBand="0" w:evenVBand="0" w:oddHBand="0" w:evenHBand="0" w:firstRowFirstColumn="0" w:firstRowLastColumn="0" w:lastRowFirstColumn="0" w:lastRowLastColumn="0"/>
        </w:trPr>
        <w:tc>
          <w:tcPr>
            <w:tcW w:w="266" w:type="dxa"/>
            <w:vAlign w:val="center"/>
          </w:tcPr>
          <w:p w14:paraId="30417735"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α</w:t>
            </w:r>
          </w:p>
        </w:tc>
        <w:tc>
          <w:tcPr>
            <w:tcW w:w="266" w:type="dxa"/>
            <w:vAlign w:val="center"/>
          </w:tcPr>
          <w:p w14:paraId="5A86E71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β</w:t>
            </w:r>
          </w:p>
        </w:tc>
        <w:tc>
          <w:tcPr>
            <w:tcW w:w="266" w:type="dxa"/>
            <w:vAlign w:val="center"/>
          </w:tcPr>
          <w:p w14:paraId="045B8DEF"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γ</w:t>
            </w:r>
          </w:p>
        </w:tc>
        <w:tc>
          <w:tcPr>
            <w:tcW w:w="267" w:type="dxa"/>
            <w:vAlign w:val="center"/>
          </w:tcPr>
          <w:p w14:paraId="4760CEFC"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η</w:t>
            </w:r>
          </w:p>
        </w:tc>
        <w:tc>
          <w:tcPr>
            <w:tcW w:w="1065" w:type="dxa"/>
            <w:vAlign w:val="center"/>
          </w:tcPr>
          <w:p w14:paraId="67F1661F"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Chromatin</w:t>
            </w:r>
          </w:p>
        </w:tc>
        <w:tc>
          <w:tcPr>
            <w:tcW w:w="1065" w:type="dxa"/>
            <w:vAlign w:val="center"/>
          </w:tcPr>
          <w:p w14:paraId="32E7A587"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Nucleoplasm</w:t>
            </w:r>
          </w:p>
        </w:tc>
        <w:tc>
          <w:tcPr>
            <w:tcW w:w="1066" w:type="dxa"/>
            <w:vAlign w:val="center"/>
          </w:tcPr>
          <w:p w14:paraId="7BC605F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Nucleolus</w:t>
            </w:r>
          </w:p>
        </w:tc>
        <w:tc>
          <w:tcPr>
            <w:tcW w:w="1065" w:type="dxa"/>
            <w:vAlign w:val="center"/>
          </w:tcPr>
          <w:p w14:paraId="76DF60A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Membrane</w:t>
            </w:r>
          </w:p>
        </w:tc>
        <w:tc>
          <w:tcPr>
            <w:tcW w:w="1065" w:type="dxa"/>
            <w:vAlign w:val="center"/>
          </w:tcPr>
          <w:p w14:paraId="728B6F48"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Nucleus</w:t>
            </w:r>
          </w:p>
        </w:tc>
        <w:tc>
          <w:tcPr>
            <w:tcW w:w="1065" w:type="dxa"/>
            <w:vAlign w:val="center"/>
          </w:tcPr>
          <w:p w14:paraId="6A391929"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Cytosol</w:t>
            </w:r>
          </w:p>
        </w:tc>
        <w:tc>
          <w:tcPr>
            <w:tcW w:w="1066" w:type="dxa"/>
            <w:vAlign w:val="center"/>
          </w:tcPr>
          <w:p w14:paraId="2B872B6A"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Cytoplasm</w:t>
            </w:r>
          </w:p>
        </w:tc>
      </w:tr>
      <w:tr w:rsidR="00B40C2D" w14:paraId="52BFA5E3" w14:textId="77777777" w:rsidTr="00B40C2D">
        <w:tc>
          <w:tcPr>
            <w:tcW w:w="266" w:type="dxa"/>
            <w:vAlign w:val="center"/>
          </w:tcPr>
          <w:p w14:paraId="40A38C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D627E6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698C7A8"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4E304A60"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2DA2369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0.065</w:t>
            </w:r>
          </w:p>
        </w:tc>
        <w:tc>
          <w:tcPr>
            <w:tcW w:w="1065" w:type="dxa"/>
          </w:tcPr>
          <w:p w14:paraId="43161AE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0.123</w:t>
            </w:r>
          </w:p>
        </w:tc>
        <w:tc>
          <w:tcPr>
            <w:tcW w:w="1066" w:type="dxa"/>
          </w:tcPr>
          <w:p w14:paraId="4212B8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0.180</w:t>
            </w:r>
          </w:p>
        </w:tc>
        <w:tc>
          <w:tcPr>
            <w:tcW w:w="1065" w:type="dxa"/>
          </w:tcPr>
          <w:p w14:paraId="6343BDD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0.167</w:t>
            </w:r>
          </w:p>
        </w:tc>
        <w:tc>
          <w:tcPr>
            <w:tcW w:w="1065" w:type="dxa"/>
          </w:tcPr>
          <w:p w14:paraId="38D761C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0.330</w:t>
            </w:r>
          </w:p>
        </w:tc>
        <w:tc>
          <w:tcPr>
            <w:tcW w:w="1065" w:type="dxa"/>
          </w:tcPr>
          <w:p w14:paraId="39D0279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0.326</w:t>
            </w:r>
          </w:p>
        </w:tc>
        <w:tc>
          <w:tcPr>
            <w:tcW w:w="1066" w:type="dxa"/>
          </w:tcPr>
          <w:p w14:paraId="018B296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0.484</w:t>
            </w:r>
          </w:p>
        </w:tc>
      </w:tr>
      <w:tr w:rsidR="00B40C2D" w14:paraId="0B924517" w14:textId="77777777" w:rsidTr="00B40C2D">
        <w:tc>
          <w:tcPr>
            <w:tcW w:w="266" w:type="dxa"/>
            <w:vAlign w:val="center"/>
          </w:tcPr>
          <w:p w14:paraId="1D4BD706"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0184D32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FA54E11"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63B0C647"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0FB390E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0.122</w:t>
            </w:r>
          </w:p>
        </w:tc>
        <w:tc>
          <w:tcPr>
            <w:tcW w:w="1065" w:type="dxa"/>
          </w:tcPr>
          <w:p w14:paraId="76C9973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0.103</w:t>
            </w:r>
          </w:p>
        </w:tc>
        <w:tc>
          <w:tcPr>
            <w:tcW w:w="1066" w:type="dxa"/>
          </w:tcPr>
          <w:p w14:paraId="2EBC3CB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0.134</w:t>
            </w:r>
          </w:p>
        </w:tc>
        <w:tc>
          <w:tcPr>
            <w:tcW w:w="1065" w:type="dxa"/>
          </w:tcPr>
          <w:p w14:paraId="06729AB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0.214</w:t>
            </w:r>
          </w:p>
        </w:tc>
        <w:tc>
          <w:tcPr>
            <w:tcW w:w="1065" w:type="dxa"/>
          </w:tcPr>
          <w:p w14:paraId="75A53A1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0.401</w:t>
            </w:r>
          </w:p>
        </w:tc>
        <w:tc>
          <w:tcPr>
            <w:tcW w:w="1065" w:type="dxa"/>
          </w:tcPr>
          <w:p w14:paraId="5EB24A4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0.315</w:t>
            </w:r>
          </w:p>
        </w:tc>
        <w:tc>
          <w:tcPr>
            <w:tcW w:w="1066" w:type="dxa"/>
          </w:tcPr>
          <w:p w14:paraId="78D7D84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0.528</w:t>
            </w:r>
          </w:p>
        </w:tc>
      </w:tr>
      <w:tr w:rsidR="00B40C2D" w14:paraId="271FF9DE" w14:textId="77777777" w:rsidTr="00B40C2D">
        <w:tc>
          <w:tcPr>
            <w:tcW w:w="266" w:type="dxa"/>
            <w:vAlign w:val="center"/>
          </w:tcPr>
          <w:p w14:paraId="05713689"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6345DB9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0A05338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049774F4"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416E681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0.068</w:t>
            </w:r>
          </w:p>
        </w:tc>
        <w:tc>
          <w:tcPr>
            <w:tcW w:w="1065" w:type="dxa"/>
          </w:tcPr>
          <w:p w14:paraId="439D18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0.089</w:t>
            </w:r>
          </w:p>
        </w:tc>
        <w:tc>
          <w:tcPr>
            <w:tcW w:w="1066" w:type="dxa"/>
          </w:tcPr>
          <w:p w14:paraId="7CC4726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0.115</w:t>
            </w:r>
          </w:p>
        </w:tc>
        <w:tc>
          <w:tcPr>
            <w:tcW w:w="1065" w:type="dxa"/>
          </w:tcPr>
          <w:p w14:paraId="1766B43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0.184</w:t>
            </w:r>
          </w:p>
        </w:tc>
        <w:tc>
          <w:tcPr>
            <w:tcW w:w="1065" w:type="dxa"/>
          </w:tcPr>
          <w:p w14:paraId="5A1B613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0.657</w:t>
            </w:r>
          </w:p>
        </w:tc>
        <w:tc>
          <w:tcPr>
            <w:tcW w:w="1065" w:type="dxa"/>
          </w:tcPr>
          <w:p w14:paraId="676C60C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0.414</w:t>
            </w:r>
          </w:p>
        </w:tc>
        <w:tc>
          <w:tcPr>
            <w:tcW w:w="1066" w:type="dxa"/>
          </w:tcPr>
          <w:p w14:paraId="43C9932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0.748</w:t>
            </w:r>
          </w:p>
        </w:tc>
      </w:tr>
      <w:tr w:rsidR="00B40C2D" w14:paraId="52FEB772" w14:textId="77777777" w:rsidTr="00B40C2D">
        <w:tc>
          <w:tcPr>
            <w:tcW w:w="266" w:type="dxa"/>
            <w:vAlign w:val="center"/>
          </w:tcPr>
          <w:p w14:paraId="10C18F4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6CA2FB5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43907924"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188439C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3A8C5F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0.085</w:t>
            </w:r>
          </w:p>
        </w:tc>
        <w:tc>
          <w:tcPr>
            <w:tcW w:w="1065" w:type="dxa"/>
          </w:tcPr>
          <w:p w14:paraId="1CBF12D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0.115</w:t>
            </w:r>
          </w:p>
        </w:tc>
        <w:tc>
          <w:tcPr>
            <w:tcW w:w="1066" w:type="dxa"/>
          </w:tcPr>
          <w:p w14:paraId="6943470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0.116</w:t>
            </w:r>
          </w:p>
        </w:tc>
        <w:tc>
          <w:tcPr>
            <w:tcW w:w="1065" w:type="dxa"/>
          </w:tcPr>
          <w:p w14:paraId="5507DD5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0.239</w:t>
            </w:r>
          </w:p>
        </w:tc>
        <w:tc>
          <w:tcPr>
            <w:tcW w:w="1065" w:type="dxa"/>
          </w:tcPr>
          <w:p w14:paraId="29C2FC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0.656</w:t>
            </w:r>
          </w:p>
        </w:tc>
        <w:tc>
          <w:tcPr>
            <w:tcW w:w="1065" w:type="dxa"/>
          </w:tcPr>
          <w:p w14:paraId="3854963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0.460</w:t>
            </w:r>
          </w:p>
        </w:tc>
        <w:tc>
          <w:tcPr>
            <w:tcW w:w="1066" w:type="dxa"/>
          </w:tcPr>
          <w:p w14:paraId="2014A4B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0.697</w:t>
            </w:r>
          </w:p>
        </w:tc>
      </w:tr>
      <w:tr w:rsidR="00B40C2D" w14:paraId="2E1D8093" w14:textId="77777777" w:rsidTr="00B40C2D">
        <w:tc>
          <w:tcPr>
            <w:tcW w:w="266" w:type="dxa"/>
            <w:vAlign w:val="center"/>
          </w:tcPr>
          <w:p w14:paraId="10D0838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A51C5B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E1A5C11"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744AAB33"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6F96B81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0.131</w:t>
            </w:r>
          </w:p>
        </w:tc>
        <w:tc>
          <w:tcPr>
            <w:tcW w:w="1065" w:type="dxa"/>
          </w:tcPr>
          <w:p w14:paraId="042222A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0.105</w:t>
            </w:r>
          </w:p>
        </w:tc>
        <w:tc>
          <w:tcPr>
            <w:tcW w:w="1066" w:type="dxa"/>
          </w:tcPr>
          <w:p w14:paraId="2C982C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0.200</w:t>
            </w:r>
          </w:p>
        </w:tc>
        <w:tc>
          <w:tcPr>
            <w:tcW w:w="1065" w:type="dxa"/>
          </w:tcPr>
          <w:p w14:paraId="64F876B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0.221</w:t>
            </w:r>
          </w:p>
        </w:tc>
        <w:tc>
          <w:tcPr>
            <w:tcW w:w="1065" w:type="dxa"/>
          </w:tcPr>
          <w:p w14:paraId="2AEE5B1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0.386</w:t>
            </w:r>
          </w:p>
        </w:tc>
        <w:tc>
          <w:tcPr>
            <w:tcW w:w="1065" w:type="dxa"/>
          </w:tcPr>
          <w:p w14:paraId="15284AD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0.315</w:t>
            </w:r>
          </w:p>
        </w:tc>
        <w:tc>
          <w:tcPr>
            <w:tcW w:w="1066" w:type="dxa"/>
          </w:tcPr>
          <w:p w14:paraId="45CB94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0.497</w:t>
            </w:r>
          </w:p>
        </w:tc>
      </w:tr>
      <w:tr w:rsidR="00B40C2D" w14:paraId="0D301073" w14:textId="77777777" w:rsidTr="00B40C2D">
        <w:tc>
          <w:tcPr>
            <w:tcW w:w="266" w:type="dxa"/>
            <w:vAlign w:val="center"/>
          </w:tcPr>
          <w:p w14:paraId="3CDA42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C36CE39"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D92156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684B1EAD"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24E4B72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0.091</w:t>
            </w:r>
          </w:p>
        </w:tc>
        <w:tc>
          <w:tcPr>
            <w:tcW w:w="1065" w:type="dxa"/>
          </w:tcPr>
          <w:p w14:paraId="75541B8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0.203</w:t>
            </w:r>
          </w:p>
        </w:tc>
        <w:tc>
          <w:tcPr>
            <w:tcW w:w="1066" w:type="dxa"/>
          </w:tcPr>
          <w:p w14:paraId="36AFFBC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0.145</w:t>
            </w:r>
          </w:p>
        </w:tc>
        <w:tc>
          <w:tcPr>
            <w:tcW w:w="1065" w:type="dxa"/>
          </w:tcPr>
          <w:p w14:paraId="1859F78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0.216</w:t>
            </w:r>
          </w:p>
        </w:tc>
        <w:tc>
          <w:tcPr>
            <w:tcW w:w="1065" w:type="dxa"/>
          </w:tcPr>
          <w:p w14:paraId="4E78C1E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0.598</w:t>
            </w:r>
          </w:p>
        </w:tc>
        <w:tc>
          <w:tcPr>
            <w:tcW w:w="1065" w:type="dxa"/>
          </w:tcPr>
          <w:p w14:paraId="09B414B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0.406</w:t>
            </w:r>
          </w:p>
        </w:tc>
        <w:tc>
          <w:tcPr>
            <w:tcW w:w="1066" w:type="dxa"/>
          </w:tcPr>
          <w:p w14:paraId="5C8C4B4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0.698</w:t>
            </w:r>
          </w:p>
        </w:tc>
      </w:tr>
      <w:tr w:rsidR="00B40C2D" w14:paraId="687C1941" w14:textId="77777777" w:rsidTr="00B40C2D">
        <w:tc>
          <w:tcPr>
            <w:tcW w:w="266" w:type="dxa"/>
            <w:vAlign w:val="center"/>
          </w:tcPr>
          <w:p w14:paraId="07F3CDB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2F27B954"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21FD88CF"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1676370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5028F7F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0.098</w:t>
            </w:r>
          </w:p>
        </w:tc>
        <w:tc>
          <w:tcPr>
            <w:tcW w:w="1065" w:type="dxa"/>
          </w:tcPr>
          <w:p w14:paraId="4EBE311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0.113</w:t>
            </w:r>
          </w:p>
        </w:tc>
        <w:tc>
          <w:tcPr>
            <w:tcW w:w="1066" w:type="dxa"/>
          </w:tcPr>
          <w:p w14:paraId="716F63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0.269</w:t>
            </w:r>
          </w:p>
        </w:tc>
        <w:tc>
          <w:tcPr>
            <w:tcW w:w="1065" w:type="dxa"/>
          </w:tcPr>
          <w:p w14:paraId="59454AE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0.243</w:t>
            </w:r>
          </w:p>
        </w:tc>
        <w:tc>
          <w:tcPr>
            <w:tcW w:w="1065" w:type="dxa"/>
          </w:tcPr>
          <w:p w14:paraId="5257235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0.642</w:t>
            </w:r>
          </w:p>
        </w:tc>
        <w:tc>
          <w:tcPr>
            <w:tcW w:w="1065" w:type="dxa"/>
          </w:tcPr>
          <w:p w14:paraId="73F4570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0.456</w:t>
            </w:r>
          </w:p>
        </w:tc>
        <w:tc>
          <w:tcPr>
            <w:tcW w:w="1066" w:type="dxa"/>
          </w:tcPr>
          <w:p w14:paraId="7FBBF3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0.694</w:t>
            </w:r>
          </w:p>
        </w:tc>
      </w:tr>
      <w:tr w:rsidR="00B40C2D" w14:paraId="10BFABF2" w14:textId="77777777" w:rsidTr="00B40C2D">
        <w:tc>
          <w:tcPr>
            <w:tcW w:w="266" w:type="dxa"/>
            <w:vAlign w:val="center"/>
          </w:tcPr>
          <w:p w14:paraId="7BE1BE22"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1E48114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4DCC364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E4BE976"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3148244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0.247</w:t>
            </w:r>
          </w:p>
        </w:tc>
        <w:tc>
          <w:tcPr>
            <w:tcW w:w="1065" w:type="dxa"/>
          </w:tcPr>
          <w:p w14:paraId="37A41AB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0.205</w:t>
            </w:r>
          </w:p>
        </w:tc>
        <w:tc>
          <w:tcPr>
            <w:tcW w:w="1066" w:type="dxa"/>
          </w:tcPr>
          <w:p w14:paraId="2DA1F2C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0.253</w:t>
            </w:r>
          </w:p>
        </w:tc>
        <w:tc>
          <w:tcPr>
            <w:tcW w:w="1065" w:type="dxa"/>
          </w:tcPr>
          <w:p w14:paraId="38EB0E9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0.258</w:t>
            </w:r>
          </w:p>
        </w:tc>
        <w:tc>
          <w:tcPr>
            <w:tcW w:w="1065" w:type="dxa"/>
          </w:tcPr>
          <w:p w14:paraId="2C9B71F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6</w:t>
            </w:r>
          </w:p>
        </w:tc>
        <w:tc>
          <w:tcPr>
            <w:tcW w:w="1065" w:type="dxa"/>
          </w:tcPr>
          <w:p w14:paraId="6270435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0.452</w:t>
            </w:r>
          </w:p>
        </w:tc>
        <w:tc>
          <w:tcPr>
            <w:tcW w:w="1066" w:type="dxa"/>
          </w:tcPr>
          <w:p w14:paraId="07D4FB7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0.757</w:t>
            </w:r>
          </w:p>
        </w:tc>
      </w:tr>
      <w:tr w:rsidR="00B40C2D" w14:paraId="689D5741" w14:textId="77777777" w:rsidTr="00B40C2D">
        <w:tc>
          <w:tcPr>
            <w:tcW w:w="266" w:type="dxa"/>
            <w:vAlign w:val="center"/>
          </w:tcPr>
          <w:p w14:paraId="243420B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ED87A2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1D30A4D"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83F079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513CB2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0.130</w:t>
            </w:r>
          </w:p>
        </w:tc>
        <w:tc>
          <w:tcPr>
            <w:tcW w:w="1065" w:type="dxa"/>
          </w:tcPr>
          <w:p w14:paraId="33649A9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0.192</w:t>
            </w:r>
          </w:p>
        </w:tc>
        <w:tc>
          <w:tcPr>
            <w:tcW w:w="1066" w:type="dxa"/>
          </w:tcPr>
          <w:p w14:paraId="358A5D8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0.268</w:t>
            </w:r>
          </w:p>
        </w:tc>
        <w:tc>
          <w:tcPr>
            <w:tcW w:w="1065" w:type="dxa"/>
          </w:tcPr>
          <w:p w14:paraId="1832EE5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0.287</w:t>
            </w:r>
          </w:p>
        </w:tc>
        <w:tc>
          <w:tcPr>
            <w:tcW w:w="1065" w:type="dxa"/>
          </w:tcPr>
          <w:p w14:paraId="74EF5C5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0.662</w:t>
            </w:r>
          </w:p>
        </w:tc>
        <w:tc>
          <w:tcPr>
            <w:tcW w:w="1065" w:type="dxa"/>
          </w:tcPr>
          <w:p w14:paraId="1DB59D4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0.460</w:t>
            </w:r>
          </w:p>
        </w:tc>
        <w:tc>
          <w:tcPr>
            <w:tcW w:w="1066" w:type="dxa"/>
          </w:tcPr>
          <w:p w14:paraId="5B5F0DB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0.717</w:t>
            </w:r>
          </w:p>
        </w:tc>
      </w:tr>
      <w:tr w:rsidR="00B40C2D" w14:paraId="7B1CCAB6" w14:textId="77777777" w:rsidTr="00B40C2D">
        <w:tc>
          <w:tcPr>
            <w:tcW w:w="266" w:type="dxa"/>
            <w:vAlign w:val="center"/>
          </w:tcPr>
          <w:p w14:paraId="77294089"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049DC581"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3AE918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4B127DB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1F6E288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0.082</w:t>
            </w:r>
          </w:p>
        </w:tc>
        <w:tc>
          <w:tcPr>
            <w:tcW w:w="1065" w:type="dxa"/>
          </w:tcPr>
          <w:p w14:paraId="60169D3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0.088</w:t>
            </w:r>
          </w:p>
        </w:tc>
        <w:tc>
          <w:tcPr>
            <w:tcW w:w="1066" w:type="dxa"/>
          </w:tcPr>
          <w:p w14:paraId="5E9A015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0.182</w:t>
            </w:r>
          </w:p>
        </w:tc>
        <w:tc>
          <w:tcPr>
            <w:tcW w:w="1065" w:type="dxa"/>
          </w:tcPr>
          <w:p w14:paraId="5532A04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0.290</w:t>
            </w:r>
          </w:p>
        </w:tc>
        <w:tc>
          <w:tcPr>
            <w:tcW w:w="1065" w:type="dxa"/>
          </w:tcPr>
          <w:p w14:paraId="123BA1A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065" w:type="dxa"/>
          </w:tcPr>
          <w:p w14:paraId="14B65A8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0.504</w:t>
            </w:r>
          </w:p>
        </w:tc>
        <w:tc>
          <w:tcPr>
            <w:tcW w:w="1066" w:type="dxa"/>
          </w:tcPr>
          <w:p w14:paraId="32BC412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0.776</w:t>
            </w:r>
          </w:p>
        </w:tc>
      </w:tr>
      <w:tr w:rsidR="00B40C2D" w14:paraId="49343B8B" w14:textId="77777777" w:rsidTr="00B40C2D">
        <w:tc>
          <w:tcPr>
            <w:tcW w:w="266" w:type="dxa"/>
            <w:vAlign w:val="center"/>
          </w:tcPr>
          <w:p w14:paraId="1A999BE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1FDF90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746754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450DFD6F" w14:textId="77777777" w:rsidR="00B40C2D" w:rsidRDefault="00B40C2D">
            <w:pPr>
              <w:rPr>
                <w:rFonts w:asciiTheme="majorEastAsia" w:eastAsiaTheme="majorEastAsia" w:hAnsiTheme="majorEastAsia" w:cs="Segoe UI" w:hint="eastAsia"/>
                <w:color w:val="404040"/>
                <w:sz w:val="18"/>
                <w:szCs w:val="18"/>
              </w:rPr>
            </w:pPr>
          </w:p>
        </w:tc>
        <w:tc>
          <w:tcPr>
            <w:tcW w:w="1065" w:type="dxa"/>
          </w:tcPr>
          <w:p w14:paraId="44C0609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0.176</w:t>
            </w:r>
          </w:p>
        </w:tc>
        <w:tc>
          <w:tcPr>
            <w:tcW w:w="1065" w:type="dxa"/>
          </w:tcPr>
          <w:p w14:paraId="234675D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0.168</w:t>
            </w:r>
          </w:p>
        </w:tc>
        <w:tc>
          <w:tcPr>
            <w:tcW w:w="1066" w:type="dxa"/>
          </w:tcPr>
          <w:p w14:paraId="6122C185"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0.236</w:t>
            </w:r>
          </w:p>
        </w:tc>
        <w:tc>
          <w:tcPr>
            <w:tcW w:w="1065" w:type="dxa"/>
          </w:tcPr>
          <w:p w14:paraId="0D66E90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0.289</w:t>
            </w:r>
          </w:p>
        </w:tc>
        <w:tc>
          <w:tcPr>
            <w:tcW w:w="1065" w:type="dxa"/>
          </w:tcPr>
          <w:p w14:paraId="40077A7A"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065" w:type="dxa"/>
          </w:tcPr>
          <w:p w14:paraId="79F2839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0.417</w:t>
            </w:r>
          </w:p>
        </w:tc>
        <w:tc>
          <w:tcPr>
            <w:tcW w:w="1066" w:type="dxa"/>
          </w:tcPr>
          <w:p w14:paraId="67AF3FEC"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0.694</w:t>
            </w:r>
          </w:p>
        </w:tc>
      </w:tr>
      <w:tr w:rsidR="00B40C2D" w14:paraId="6556575F" w14:textId="77777777" w:rsidTr="00B40C2D">
        <w:tc>
          <w:tcPr>
            <w:tcW w:w="266" w:type="dxa"/>
            <w:vAlign w:val="center"/>
          </w:tcPr>
          <w:p w14:paraId="73DD122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030EF13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F4771C3" w14:textId="77777777" w:rsidR="00B40C2D" w:rsidRDefault="00B40C2D">
            <w:pPr>
              <w:rPr>
                <w:rFonts w:asciiTheme="majorEastAsia" w:eastAsiaTheme="majorEastAsia" w:hAnsiTheme="majorEastAsia" w:cs="Segoe UI" w:hint="eastAsia"/>
                <w:color w:val="404040"/>
                <w:sz w:val="18"/>
                <w:szCs w:val="18"/>
              </w:rPr>
            </w:pPr>
          </w:p>
        </w:tc>
        <w:tc>
          <w:tcPr>
            <w:tcW w:w="267" w:type="dxa"/>
            <w:vAlign w:val="center"/>
          </w:tcPr>
          <w:p w14:paraId="22E42FF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271002E6"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0.191</w:t>
            </w:r>
          </w:p>
        </w:tc>
        <w:tc>
          <w:tcPr>
            <w:tcW w:w="1065" w:type="dxa"/>
          </w:tcPr>
          <w:p w14:paraId="2C4BFC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0.138</w:t>
            </w:r>
          </w:p>
        </w:tc>
        <w:tc>
          <w:tcPr>
            <w:tcW w:w="1066" w:type="dxa"/>
          </w:tcPr>
          <w:p w14:paraId="7A332C52"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0.261</w:t>
            </w:r>
          </w:p>
        </w:tc>
        <w:tc>
          <w:tcPr>
            <w:tcW w:w="1065" w:type="dxa"/>
          </w:tcPr>
          <w:p w14:paraId="18383B48"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0.274</w:t>
            </w:r>
          </w:p>
        </w:tc>
        <w:tc>
          <w:tcPr>
            <w:tcW w:w="1065" w:type="dxa"/>
          </w:tcPr>
          <w:p w14:paraId="4046E57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0.645</w:t>
            </w:r>
          </w:p>
        </w:tc>
        <w:tc>
          <w:tcPr>
            <w:tcW w:w="1065" w:type="dxa"/>
          </w:tcPr>
          <w:p w14:paraId="7ADCE0E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0.431</w:t>
            </w:r>
          </w:p>
        </w:tc>
        <w:tc>
          <w:tcPr>
            <w:tcW w:w="1066" w:type="dxa"/>
          </w:tcPr>
          <w:p w14:paraId="06AE3C9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0.705</w:t>
            </w:r>
          </w:p>
        </w:tc>
      </w:tr>
      <w:tr w:rsidR="00B40C2D" w14:paraId="2E771247" w14:textId="77777777" w:rsidTr="00B40C2D">
        <w:tc>
          <w:tcPr>
            <w:tcW w:w="266" w:type="dxa"/>
            <w:vAlign w:val="center"/>
          </w:tcPr>
          <w:p w14:paraId="3C62C967"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34D551D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76B2057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268793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3A305CB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0.099</w:t>
            </w:r>
          </w:p>
        </w:tc>
        <w:tc>
          <w:tcPr>
            <w:tcW w:w="1065" w:type="dxa"/>
          </w:tcPr>
          <w:p w14:paraId="6C61022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0.190</w:t>
            </w:r>
          </w:p>
        </w:tc>
        <w:tc>
          <w:tcPr>
            <w:tcW w:w="1066" w:type="dxa"/>
          </w:tcPr>
          <w:p w14:paraId="609CD58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0.205</w:t>
            </w:r>
          </w:p>
        </w:tc>
        <w:tc>
          <w:tcPr>
            <w:tcW w:w="1065" w:type="dxa"/>
          </w:tcPr>
          <w:p w14:paraId="7BB7A46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0.278</w:t>
            </w:r>
          </w:p>
        </w:tc>
        <w:tc>
          <w:tcPr>
            <w:tcW w:w="1065" w:type="dxa"/>
          </w:tcPr>
          <w:p w14:paraId="4F2A1A5E"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0.653</w:t>
            </w:r>
          </w:p>
        </w:tc>
        <w:tc>
          <w:tcPr>
            <w:tcW w:w="1065" w:type="dxa"/>
          </w:tcPr>
          <w:p w14:paraId="1D426F2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0.481</w:t>
            </w:r>
          </w:p>
        </w:tc>
        <w:tc>
          <w:tcPr>
            <w:tcW w:w="1066" w:type="dxa"/>
          </w:tcPr>
          <w:p w14:paraId="18AFE1D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0.741</w:t>
            </w:r>
          </w:p>
        </w:tc>
      </w:tr>
      <w:tr w:rsidR="00B40C2D" w14:paraId="60271A0D" w14:textId="77777777" w:rsidTr="00B40C2D">
        <w:tc>
          <w:tcPr>
            <w:tcW w:w="266" w:type="dxa"/>
            <w:vAlign w:val="center"/>
          </w:tcPr>
          <w:p w14:paraId="2904F13B" w14:textId="77777777" w:rsidR="00B40C2D" w:rsidRDefault="00B40C2D">
            <w:pPr>
              <w:rPr>
                <w:rFonts w:asciiTheme="majorEastAsia" w:eastAsiaTheme="majorEastAsia" w:hAnsiTheme="majorEastAsia" w:cs="Segoe UI" w:hint="eastAsia"/>
                <w:color w:val="404040"/>
                <w:sz w:val="18"/>
                <w:szCs w:val="18"/>
              </w:rPr>
            </w:pPr>
          </w:p>
        </w:tc>
        <w:tc>
          <w:tcPr>
            <w:tcW w:w="266" w:type="dxa"/>
            <w:vAlign w:val="center"/>
          </w:tcPr>
          <w:p w14:paraId="3DA72A3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510A77C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19A1452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5AE62CA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0.198</w:t>
            </w:r>
          </w:p>
        </w:tc>
        <w:tc>
          <w:tcPr>
            <w:tcW w:w="1065" w:type="dxa"/>
          </w:tcPr>
          <w:p w14:paraId="4B4AD8F4"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0.188</w:t>
            </w:r>
          </w:p>
        </w:tc>
        <w:tc>
          <w:tcPr>
            <w:tcW w:w="1066" w:type="dxa"/>
          </w:tcPr>
          <w:p w14:paraId="1171F8E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0.312</w:t>
            </w:r>
          </w:p>
        </w:tc>
        <w:tc>
          <w:tcPr>
            <w:tcW w:w="1065" w:type="dxa"/>
          </w:tcPr>
          <w:p w14:paraId="5C65D3B0"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0.276</w:t>
            </w:r>
          </w:p>
        </w:tc>
        <w:tc>
          <w:tcPr>
            <w:tcW w:w="1065" w:type="dxa"/>
          </w:tcPr>
          <w:p w14:paraId="4976DBC2"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4</w:t>
            </w:r>
          </w:p>
        </w:tc>
        <w:tc>
          <w:tcPr>
            <w:tcW w:w="1065" w:type="dxa"/>
          </w:tcPr>
          <w:p w14:paraId="6FD96CA1"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0.471</w:t>
            </w:r>
          </w:p>
        </w:tc>
        <w:tc>
          <w:tcPr>
            <w:tcW w:w="1066" w:type="dxa"/>
          </w:tcPr>
          <w:p w14:paraId="03293D73"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r>
      <w:tr w:rsidR="00B40C2D" w14:paraId="092A29F5" w14:textId="77777777" w:rsidTr="00B40C2D">
        <w:tc>
          <w:tcPr>
            <w:tcW w:w="266" w:type="dxa"/>
            <w:vAlign w:val="center"/>
          </w:tcPr>
          <w:p w14:paraId="571F442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6587994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6" w:type="dxa"/>
            <w:vAlign w:val="center"/>
          </w:tcPr>
          <w:p w14:paraId="1E107A09"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267" w:type="dxa"/>
            <w:vAlign w:val="center"/>
          </w:tcPr>
          <w:p w14:paraId="7926700D"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w:t>
            </w:r>
          </w:p>
        </w:tc>
        <w:tc>
          <w:tcPr>
            <w:tcW w:w="1065" w:type="dxa"/>
          </w:tcPr>
          <w:p w14:paraId="52A5992F"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0.234</w:t>
            </w:r>
          </w:p>
        </w:tc>
        <w:tc>
          <w:tcPr>
            <w:tcW w:w="1065" w:type="dxa"/>
          </w:tcPr>
          <w:p w14:paraId="35F280A8"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0.259</w:t>
            </w:r>
          </w:p>
        </w:tc>
        <w:tc>
          <w:tcPr>
            <w:tcW w:w="1066" w:type="dxa"/>
          </w:tcPr>
          <w:p w14:paraId="333E8C0B" w14:textId="77777777" w:rsidR="00B40C2D" w:rsidRDefault="00000000">
            <w:pPr>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0.254</w:t>
            </w:r>
          </w:p>
        </w:tc>
        <w:tc>
          <w:tcPr>
            <w:tcW w:w="1065" w:type="dxa"/>
          </w:tcPr>
          <w:p w14:paraId="018F41C4"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0.386</w:t>
            </w:r>
          </w:p>
        </w:tc>
        <w:tc>
          <w:tcPr>
            <w:tcW w:w="1065" w:type="dxa"/>
          </w:tcPr>
          <w:p w14:paraId="6FDA9F6B"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0.660</w:t>
            </w:r>
          </w:p>
        </w:tc>
        <w:tc>
          <w:tcPr>
            <w:tcW w:w="1065" w:type="dxa"/>
          </w:tcPr>
          <w:p w14:paraId="3122B3F3" w14:textId="77777777" w:rsidR="00B40C2D" w:rsidRDefault="00000000">
            <w:pPr>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0.582</w:t>
            </w:r>
          </w:p>
        </w:tc>
        <w:tc>
          <w:tcPr>
            <w:tcW w:w="1066" w:type="dxa"/>
          </w:tcPr>
          <w:p w14:paraId="1B5E3BD5" w14:textId="77777777" w:rsidR="00B40C2D" w:rsidRDefault="00000000">
            <w:pPr>
              <w:keepNex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0.759</w:t>
            </w:r>
          </w:p>
        </w:tc>
      </w:tr>
    </w:tbl>
    <w:p w14:paraId="31984BBC" w14:textId="77777777" w:rsidR="00B40C2D" w:rsidRDefault="00000000">
      <w:pPr>
        <w:rPr>
          <w:rFonts w:asciiTheme="majorEastAsia" w:eastAsiaTheme="majorEastAsia" w:hAnsiTheme="majorEastAsia" w:hint="eastAsia"/>
        </w:rPr>
      </w:pPr>
      <w:r>
        <w:rPr>
          <w:rFonts w:asciiTheme="majorEastAsia" w:eastAsiaTheme="majorEastAsia" w:hAnsiTheme="majorEastAsia" w:hint="eastAsia"/>
        </w:rPr>
        <w:t>α</w:t>
      </w:r>
      <w:r>
        <w:rPr>
          <w:rFonts w:asciiTheme="majorEastAsia" w:eastAsiaTheme="majorEastAsia" w:hAnsiTheme="majorEastAsia"/>
        </w:rPr>
        <w:t xml:space="preserve">: </w:t>
      </w:r>
      <w:r>
        <w:rPr>
          <w:rFonts w:asciiTheme="majorEastAsia" w:eastAsiaTheme="majorEastAsia" w:hAnsiTheme="majorEastAsia" w:hint="eastAsia"/>
        </w:rPr>
        <w:t>K-mer</w:t>
      </w:r>
      <w:r>
        <w:rPr>
          <w:rFonts w:asciiTheme="majorEastAsia" w:eastAsiaTheme="majorEastAsia" w:hAnsiTheme="majorEastAsia"/>
        </w:rPr>
        <w:t xml:space="preserve"> features</w:t>
      </w:r>
      <w:r>
        <w:rPr>
          <w:rFonts w:asciiTheme="majorEastAsia" w:eastAsiaTheme="majorEastAsia" w:hAnsiTheme="majorEastAsia" w:hint="eastAsia"/>
        </w:rPr>
        <w:t>+RCK-mer features</w:t>
      </w:r>
      <w:r>
        <w:rPr>
          <w:rFonts w:asciiTheme="majorEastAsia" w:eastAsiaTheme="majorEastAsia" w:hAnsiTheme="majorEastAsia"/>
        </w:rPr>
        <w:t>; β:</w:t>
      </w:r>
      <w:r>
        <w:rPr>
          <w:rFonts w:asciiTheme="majorEastAsia" w:eastAsiaTheme="majorEastAsia" w:hAnsiTheme="majorEastAsia" w:hint="eastAsia"/>
        </w:rPr>
        <w:t>RNAErine</w:t>
      </w:r>
      <w:r>
        <w:rPr>
          <w:rFonts w:asciiTheme="majorEastAsia" w:eastAsiaTheme="majorEastAsia" w:hAnsiTheme="majorEastAsia"/>
        </w:rPr>
        <w:t xml:space="preserve"> features; γ:</w:t>
      </w:r>
      <w:r>
        <w:rPr>
          <w:rFonts w:asciiTheme="majorEastAsia" w:eastAsiaTheme="majorEastAsia" w:hAnsiTheme="majorEastAsia" w:hint="eastAsia"/>
        </w:rPr>
        <w:t>sequence</w:t>
      </w:r>
      <w:r>
        <w:rPr>
          <w:rFonts w:asciiTheme="majorEastAsia" w:eastAsiaTheme="majorEastAsia" w:hAnsiTheme="majorEastAsia"/>
        </w:rPr>
        <w:t xml:space="preserve"> features; </w:t>
      </w:r>
      <w:r>
        <w:rPr>
          <w:rFonts w:asciiTheme="majorEastAsia" w:eastAsiaTheme="majorEastAsia" w:hAnsiTheme="majorEastAsia" w:cs="Segoe UI" w:hint="eastAsia"/>
          <w:color w:val="404040"/>
          <w:sz w:val="18"/>
          <w:szCs w:val="18"/>
        </w:rPr>
        <w:t>η</w:t>
      </w:r>
      <w:r>
        <w:rPr>
          <w:rFonts w:asciiTheme="majorEastAsia" w:eastAsiaTheme="majorEastAsia" w:hAnsiTheme="majorEastAsia"/>
        </w:rPr>
        <w:t xml:space="preserve">: </w:t>
      </w:r>
      <w:r>
        <w:rPr>
          <w:rFonts w:asciiTheme="majorEastAsia" w:eastAsiaTheme="majorEastAsia" w:hAnsiTheme="majorEastAsia" w:hint="eastAsia"/>
        </w:rPr>
        <w:t xml:space="preserve">disease </w:t>
      </w:r>
      <w:r>
        <w:rPr>
          <w:rFonts w:asciiTheme="majorEastAsia" w:eastAsiaTheme="majorEastAsia" w:hAnsiTheme="majorEastAsia"/>
        </w:rPr>
        <w:t>features</w:t>
      </w:r>
      <w:r>
        <w:rPr>
          <w:rFonts w:asciiTheme="majorEastAsia" w:eastAsiaTheme="majorEastAsia" w:hAnsiTheme="majorEastAsia" w:hint="eastAsia"/>
        </w:rPr>
        <w:t xml:space="preserve"> +drug </w:t>
      </w:r>
      <w:r>
        <w:rPr>
          <w:rFonts w:asciiTheme="majorEastAsia" w:eastAsiaTheme="majorEastAsia" w:hAnsiTheme="majorEastAsia"/>
        </w:rPr>
        <w:t>features</w:t>
      </w:r>
      <w:r>
        <w:rPr>
          <w:rFonts w:asciiTheme="majorEastAsia" w:eastAsiaTheme="majorEastAsia" w:hAnsiTheme="majorEastAsia" w:hint="eastAsia"/>
        </w:rPr>
        <w:t xml:space="preserve"> +miRNA </w:t>
      </w:r>
      <w:r>
        <w:rPr>
          <w:rFonts w:asciiTheme="majorEastAsia" w:eastAsiaTheme="majorEastAsia" w:hAnsiTheme="majorEastAsia"/>
        </w:rPr>
        <w:t>features</w:t>
      </w:r>
      <w:r>
        <w:rPr>
          <w:rFonts w:asciiTheme="majorEastAsia" w:eastAsiaTheme="majorEastAsia" w:hAnsiTheme="majorEastAsia" w:hint="eastAsia"/>
        </w:rPr>
        <w:t xml:space="preserve"> +</w:t>
      </w:r>
      <w:r>
        <w:rPr>
          <w:rFonts w:asciiTheme="majorEastAsia" w:eastAsiaTheme="majorEastAsia" w:hAnsiTheme="majorEastAsia"/>
        </w:rPr>
        <w:t>mRNA co-localization features.</w:t>
      </w:r>
    </w:p>
    <w:p w14:paraId="3A9E39D3" w14:textId="77777777" w:rsidR="00B40C2D" w:rsidRDefault="00B40C2D">
      <w:pPr>
        <w:pStyle w:val="a3"/>
        <w:jc w:val="left"/>
        <w:rPr>
          <w:rFonts w:asciiTheme="majorEastAsia" w:eastAsiaTheme="majorEastAsia" w:hAnsiTheme="majorEastAsia" w:cs="Segoe UI" w:hint="eastAsia"/>
          <w:color w:val="404040"/>
          <w:sz w:val="24"/>
        </w:rPr>
      </w:pPr>
    </w:p>
    <w:p w14:paraId="631D14EA" w14:textId="77777777" w:rsidR="00B40C2D" w:rsidRDefault="00B40C2D">
      <w:pPr>
        <w:rPr>
          <w:rFonts w:asciiTheme="majorEastAsia" w:eastAsiaTheme="majorEastAsia" w:hAnsiTheme="majorEastAsia" w:hint="eastAsia"/>
        </w:rPr>
      </w:pPr>
    </w:p>
    <w:p w14:paraId="6DB836DD" w14:textId="77777777" w:rsidR="00B40C2D" w:rsidRDefault="00000000">
      <w:pPr>
        <w:pStyle w:val="a3"/>
        <w:keepNext/>
        <w:jc w:val="both"/>
        <w:rPr>
          <w:rFonts w:asciiTheme="majorEastAsia" w:eastAsiaTheme="majorEastAsia" w:hAnsiTheme="majorEastAsia" w:hint="eastAsia"/>
        </w:rPr>
      </w:pPr>
      <w:bookmarkStart w:id="15" w:name="_Ref199880712"/>
      <w:r>
        <w:rPr>
          <w:rFonts w:asciiTheme="majorEastAsia" w:eastAsiaTheme="majorEastAsia" w:hAnsiTheme="majorEastAsia"/>
        </w:rPr>
        <w:lastRenderedPageBreak/>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7</w:t>
      </w:r>
      <w:r>
        <w:rPr>
          <w:rFonts w:asciiTheme="majorEastAsia" w:eastAsiaTheme="majorEastAsia" w:hAnsiTheme="majorEastAsia"/>
        </w:rPr>
        <w:fldChar w:fldCharType="end"/>
      </w:r>
      <w:bookmarkEnd w:id="15"/>
      <w:r>
        <w:rPr>
          <w:rFonts w:asciiTheme="majorEastAsia" w:eastAsiaTheme="majorEastAsia" w:hAnsiTheme="majorEastAsia" w:hint="eastAsia"/>
        </w:rPr>
        <w:t>. performance on seven subcellula localizations measured by AUC</w:t>
      </w:r>
    </w:p>
    <w:p w14:paraId="4F1D9EAA" w14:textId="77777777" w:rsidR="00B40C2D" w:rsidRDefault="00000000">
      <w:pPr>
        <w:rPr>
          <w:rFonts w:asciiTheme="majorEastAsia" w:eastAsiaTheme="majorEastAsia" w:hAnsiTheme="majorEastAsia" w:hint="eastAsia"/>
        </w:rPr>
      </w:pPr>
      <w:r>
        <w:rPr>
          <w:rFonts w:asciiTheme="majorEastAsia" w:eastAsiaTheme="majorEastAsia" w:hAnsiTheme="majorEastAsia" w:hint="eastAsia"/>
          <w:noProof/>
        </w:rPr>
        <w:drawing>
          <wp:inline distT="0" distB="0" distL="0" distR="0" wp14:anchorId="2CD32957" wp14:editId="3BE5BD5B">
            <wp:extent cx="5181600" cy="3134995"/>
            <wp:effectExtent l="0" t="0" r="0" b="8255"/>
            <wp:docPr id="34055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56833" name="图片 1"/>
                    <pic:cNvPicPr>
                      <a:picLocks noChangeAspect="1"/>
                    </pic:cNvPicPr>
                  </pic:nvPicPr>
                  <pic:blipFill>
                    <a:blip r:embed="rId12" cstate="print">
                      <a:extLst>
                        <a:ext uri="{28A0092B-C50C-407E-A947-70E740481C1C}">
                          <a14:useLocalDpi xmlns:a14="http://schemas.microsoft.com/office/drawing/2010/main" val="0"/>
                        </a:ext>
                      </a:extLst>
                    </a:blip>
                    <a:srcRect l="9933" t="7385" r="11871" b="8497"/>
                    <a:stretch>
                      <a:fillRect/>
                    </a:stretch>
                  </pic:blipFill>
                  <pic:spPr>
                    <a:xfrm>
                      <a:off x="0" y="0"/>
                      <a:ext cx="5190669" cy="3140775"/>
                    </a:xfrm>
                    <a:prstGeom prst="rect">
                      <a:avLst/>
                    </a:prstGeom>
                    <a:ln>
                      <a:noFill/>
                    </a:ln>
                  </pic:spPr>
                </pic:pic>
              </a:graphicData>
            </a:graphic>
          </wp:inline>
        </w:drawing>
      </w:r>
    </w:p>
    <w:p w14:paraId="3E5CCCA1" w14:textId="77777777" w:rsidR="00B40C2D" w:rsidRDefault="00B40C2D">
      <w:pPr>
        <w:widowControl/>
        <w:jc w:val="left"/>
        <w:rPr>
          <w:rFonts w:asciiTheme="majorEastAsia" w:eastAsiaTheme="majorEastAsia" w:hAnsiTheme="majorEastAsia" w:cs="Segoe UI" w:hint="eastAsia"/>
          <w:color w:val="404040"/>
          <w:sz w:val="24"/>
        </w:rPr>
      </w:pPr>
    </w:p>
    <w:p w14:paraId="09231369" w14:textId="77777777" w:rsidR="00B40C2D" w:rsidRDefault="00000000">
      <w:pPr>
        <w:pStyle w:val="a3"/>
        <w:keepNext/>
        <w:jc w:val="left"/>
        <w:rPr>
          <w:rFonts w:asciiTheme="majorEastAsia" w:eastAsiaTheme="majorEastAsia" w:hAnsiTheme="majorEastAsia" w:hint="eastAsia"/>
        </w:rPr>
      </w:pPr>
      <w:bookmarkStart w:id="16" w:name="_Ref199880761"/>
      <w:r>
        <w:rPr>
          <w:rFonts w:asciiTheme="majorEastAsia" w:eastAsiaTheme="majorEastAsia" w:hAnsiTheme="majorEastAsia"/>
        </w:rPr>
        <w:t xml:space="preserve">Figure </w:t>
      </w:r>
      <w:r>
        <w:rPr>
          <w:rFonts w:asciiTheme="majorEastAsia" w:eastAsiaTheme="majorEastAsia" w:hAnsiTheme="majorEastAsia"/>
        </w:rPr>
        <w:fldChar w:fldCharType="begin"/>
      </w:r>
      <w:r>
        <w:rPr>
          <w:rFonts w:asciiTheme="majorEastAsia" w:eastAsiaTheme="majorEastAsia" w:hAnsiTheme="majorEastAsia"/>
        </w:rPr>
        <w:instrText xml:space="preserve"> SEQ Figure \* ARABIC </w:instrText>
      </w:r>
      <w:r>
        <w:rPr>
          <w:rFonts w:asciiTheme="majorEastAsia" w:eastAsiaTheme="majorEastAsia" w:hAnsiTheme="majorEastAsia"/>
        </w:rPr>
        <w:fldChar w:fldCharType="separate"/>
      </w:r>
      <w:r>
        <w:rPr>
          <w:rFonts w:asciiTheme="majorEastAsia" w:eastAsiaTheme="majorEastAsia" w:hAnsiTheme="majorEastAsia"/>
        </w:rPr>
        <w:t>8</w:t>
      </w:r>
      <w:r>
        <w:rPr>
          <w:rFonts w:asciiTheme="majorEastAsia" w:eastAsiaTheme="majorEastAsia" w:hAnsiTheme="majorEastAsia"/>
        </w:rPr>
        <w:fldChar w:fldCharType="end"/>
      </w:r>
      <w:bookmarkEnd w:id="16"/>
      <w:r>
        <w:rPr>
          <w:rFonts w:asciiTheme="majorEastAsia" w:eastAsiaTheme="majorEastAsia" w:hAnsiTheme="majorEastAsia" w:hint="eastAsia"/>
        </w:rPr>
        <w:t>. performance on seven subcellula localizations measured by AUPR</w:t>
      </w:r>
    </w:p>
    <w:p w14:paraId="21AC4B3C" w14:textId="77777777" w:rsidR="00B40C2D" w:rsidRDefault="00000000">
      <w:pPr>
        <w:widowControl/>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noProof/>
          <w:color w:val="404040"/>
          <w:sz w:val="24"/>
        </w:rPr>
        <w:drawing>
          <wp:inline distT="0" distB="0" distL="0" distR="0" wp14:anchorId="779E2239" wp14:editId="0893E091">
            <wp:extent cx="5181600" cy="3250565"/>
            <wp:effectExtent l="0" t="0" r="0" b="6985"/>
            <wp:docPr id="87885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5618" name="图片 2"/>
                    <pic:cNvPicPr>
                      <a:picLocks noChangeAspect="1"/>
                    </pic:cNvPicPr>
                  </pic:nvPicPr>
                  <pic:blipFill>
                    <a:blip r:embed="rId13" cstate="print">
                      <a:extLst>
                        <a:ext uri="{28A0092B-C50C-407E-A947-70E740481C1C}">
                          <a14:useLocalDpi xmlns:a14="http://schemas.microsoft.com/office/drawing/2010/main" val="0"/>
                        </a:ext>
                      </a:extLst>
                    </a:blip>
                    <a:srcRect l="11016" t="5458" r="12413" b="9139"/>
                    <a:stretch>
                      <a:fillRect/>
                    </a:stretch>
                  </pic:blipFill>
                  <pic:spPr>
                    <a:xfrm>
                      <a:off x="0" y="0"/>
                      <a:ext cx="5199787" cy="3262131"/>
                    </a:xfrm>
                    <a:prstGeom prst="rect">
                      <a:avLst/>
                    </a:prstGeom>
                    <a:ln>
                      <a:noFill/>
                    </a:ln>
                  </pic:spPr>
                </pic:pic>
              </a:graphicData>
            </a:graphic>
          </wp:inline>
        </w:drawing>
      </w:r>
    </w:p>
    <w:p w14:paraId="69CEF717"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Effectiveness of GATE</w:t>
      </w:r>
    </w:p>
    <w:p w14:paraId="43EA1355"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为提升源自</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RNA-疾病关联、</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RNA-药物作用及</w:t>
      </w:r>
      <w:r>
        <w:rPr>
          <w:rFonts w:asciiTheme="majorEastAsia" w:eastAsiaTheme="majorEastAsia" w:hAnsiTheme="majorEastAsia" w:cs="Segoe UI" w:hint="eastAsia"/>
          <w:color w:val="404040"/>
          <w:sz w:val="24"/>
        </w:rPr>
        <w:t>circ</w:t>
      </w:r>
      <w:r>
        <w:rPr>
          <w:rFonts w:asciiTheme="majorEastAsia" w:eastAsiaTheme="majorEastAsia" w:hAnsiTheme="majorEastAsia" w:cs="Segoe UI"/>
          <w:color w:val="404040"/>
          <w:sz w:val="24"/>
        </w:rPr>
        <w:t>RNA-m</w:t>
      </w:r>
      <w:r>
        <w:rPr>
          <w:rFonts w:asciiTheme="majorEastAsia" w:eastAsiaTheme="majorEastAsia" w:hAnsiTheme="majorEastAsia" w:cs="Segoe UI" w:hint="eastAsia"/>
          <w:color w:val="404040"/>
          <w:sz w:val="24"/>
        </w:rPr>
        <w:t>i</w:t>
      </w:r>
      <w:r>
        <w:rPr>
          <w:rFonts w:asciiTheme="majorEastAsia" w:eastAsiaTheme="majorEastAsia" w:hAnsiTheme="majorEastAsia" w:cs="Segoe UI"/>
          <w:color w:val="404040"/>
          <w:sz w:val="24"/>
        </w:rPr>
        <w:t>RNA互作网络的原始特征质量，本研究采用了图注意力增强（GATE）模块。需验证该模块对</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性能的实际提升作用，我们</w:t>
      </w:r>
      <w:proofErr w:type="gramStart"/>
      <w:r>
        <w:rPr>
          <w:rFonts w:asciiTheme="majorEastAsia" w:eastAsiaTheme="majorEastAsia" w:hAnsiTheme="majorEastAsia" w:cs="Segoe UI"/>
          <w:color w:val="404040"/>
          <w:sz w:val="24"/>
        </w:rPr>
        <w:t>移除了</w:t>
      </w:r>
      <w:proofErr w:type="gramEnd"/>
      <w:r>
        <w:rPr>
          <w:rFonts w:asciiTheme="majorEastAsia" w:eastAsiaTheme="majorEastAsia" w:hAnsiTheme="majorEastAsia" w:cs="Segoe UI"/>
          <w:color w:val="404040"/>
          <w:sz w:val="24"/>
        </w:rPr>
        <w:t>GATE模块并重建分类器，同样采用10折交叉验证进行评估（结果见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color w:val="404040"/>
          <w:sz w:val="24"/>
        </w:rPr>
        <w:t>）。表中同步列出</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的测量值以进行对比分析</w:t>
      </w:r>
      <w:r>
        <w:rPr>
          <w:rFonts w:asciiTheme="majorEastAsia" w:eastAsiaTheme="majorEastAsia" w:hAnsiTheme="majorEastAsia" w:cs="Segoe UI" w:hint="eastAsia"/>
          <w:color w:val="404040"/>
          <w:sz w:val="24"/>
        </w:rPr>
        <w:t>。</w:t>
      </w:r>
    </w:p>
    <w:p w14:paraId="05F485E4"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lastRenderedPageBreak/>
        <w:t>实验数据显示，去除GATE模块后，分类器的A</w:t>
      </w:r>
      <w:r>
        <w:rPr>
          <w:rFonts w:asciiTheme="majorEastAsia" w:eastAsiaTheme="majorEastAsia" w:hAnsiTheme="majorEastAsia" w:cs="Segoe UI"/>
          <w:color w:val="404040"/>
          <w:sz w:val="24"/>
        </w:rPr>
        <w:t>ccuracy</w:t>
      </w:r>
      <w:r>
        <w:rPr>
          <w:rFonts w:asciiTheme="majorEastAsia" w:eastAsiaTheme="majorEastAsia" w:hAnsiTheme="majorEastAsia" w:cs="Segoe UI" w:hint="eastAsia"/>
          <w:color w:val="404040"/>
          <w:sz w:val="24"/>
        </w:rPr>
        <w:t>、F1、Recall、Precision、AUC以及AUPR均出现下降，在7种亚细胞定位的预测性能上，AUC值相比较完整的CircLoc全面下滑，这些结果证明，未配置GATE模块的分类器性能明显逊色于CircLoc，</w:t>
      </w:r>
      <w:r>
        <w:rPr>
          <w:rFonts w:asciiTheme="majorEastAsia" w:eastAsiaTheme="majorEastAsia" w:hAnsiTheme="majorEastAsia" w:cs="Segoe UI"/>
          <w:color w:val="404040"/>
          <w:sz w:val="24"/>
        </w:rPr>
        <w:t>充分验证了GATE模块对于构建高性能分类器的必要性</w:t>
      </w:r>
      <w:r>
        <w:rPr>
          <w:rFonts w:asciiTheme="majorEastAsia" w:eastAsiaTheme="majorEastAsia" w:hAnsiTheme="majorEastAsia" w:cs="Segoe UI" w:hint="eastAsia"/>
          <w:color w:val="404040"/>
          <w:sz w:val="24"/>
        </w:rPr>
        <w:t>。</w:t>
      </w:r>
    </w:p>
    <w:p w14:paraId="10C11F6C"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 xml:space="preserve">Effectiveness of </w:t>
      </w:r>
      <w:r>
        <w:rPr>
          <w:rFonts w:asciiTheme="majorEastAsia" w:hAnsiTheme="majorEastAsia" w:cs="Segoe UI"/>
          <w:color w:val="404040"/>
          <w:sz w:val="28"/>
          <w:szCs w:val="36"/>
        </w:rPr>
        <w:t>self-attention layer</w:t>
      </w:r>
    </w:p>
    <w:p w14:paraId="5BDF306C"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自注意力层的设计旨在进一步提升最终预测前的特征质量。为验证该模块对</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的贡献，我们</w:t>
      </w:r>
      <w:proofErr w:type="gramStart"/>
      <w:r>
        <w:rPr>
          <w:rFonts w:asciiTheme="majorEastAsia" w:eastAsiaTheme="majorEastAsia" w:hAnsiTheme="majorEastAsia" w:cs="Segoe UI"/>
          <w:color w:val="404040"/>
          <w:sz w:val="24"/>
        </w:rPr>
        <w:t>移除了</w:t>
      </w:r>
      <w:proofErr w:type="gramEnd"/>
      <w:r>
        <w:rPr>
          <w:rFonts w:asciiTheme="majorEastAsia" w:eastAsiaTheme="majorEastAsia" w:hAnsiTheme="majorEastAsia" w:cs="Segoe UI"/>
          <w:color w:val="404040"/>
          <w:sz w:val="24"/>
        </w:rPr>
        <w:t>自</w:t>
      </w:r>
      <w:proofErr w:type="gramStart"/>
      <w:r>
        <w:rPr>
          <w:rFonts w:asciiTheme="majorEastAsia" w:eastAsiaTheme="majorEastAsia" w:hAnsiTheme="majorEastAsia" w:cs="Segoe UI"/>
          <w:color w:val="404040"/>
          <w:sz w:val="24"/>
        </w:rPr>
        <w:t>注意力层并重建</w:t>
      </w:r>
      <w:proofErr w:type="gramEnd"/>
      <w:r>
        <w:rPr>
          <w:rFonts w:asciiTheme="majorEastAsia" w:eastAsiaTheme="majorEastAsia" w:hAnsiTheme="majorEastAsia" w:cs="Segoe UI"/>
          <w:color w:val="404040"/>
          <w:sz w:val="24"/>
        </w:rPr>
        <w:t>分类器，通过10折交叉验证进行评估</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)，与完整版CircLoc相比，去除该模块后，所有指标均下降，</w:t>
      </w: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7</w:t>
      </w:r>
      <w:r>
        <w:rPr>
          <w:rFonts w:asciiTheme="majorEastAsia" w:eastAsiaTheme="majorEastAsia" w:hAnsiTheme="majorEastAsia" w:cs="Segoe UI"/>
          <w:color w:val="404040"/>
          <w:sz w:val="24"/>
        </w:rPr>
        <w:t>种亚细胞定位的预测中</w:t>
      </w:r>
      <w:r>
        <w:rPr>
          <w:rFonts w:asciiTheme="majorEastAsia" w:eastAsiaTheme="majorEastAsia" w:hAnsiTheme="majorEastAsia" w:cs="Segoe UI" w:hint="eastAsia"/>
          <w:color w:val="404040"/>
          <w:sz w:val="24"/>
        </w:rPr>
        <w:t>，所有AUC值均下降，下降幅度0.001-0.02，</w:t>
      </w:r>
      <w:r>
        <w:rPr>
          <w:rFonts w:asciiTheme="majorEastAsia" w:eastAsiaTheme="majorEastAsia" w:hAnsiTheme="majorEastAsia" w:cs="Segoe UI"/>
          <w:color w:val="404040"/>
          <w:sz w:val="24"/>
        </w:rPr>
        <w:t>AUPR值也呈现相似程度的衰减。这些结果表明，缺失自注意力层的分类器性能显著弱于</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，证实了该模块对模型性能的提升具有实质性作用。</w:t>
      </w:r>
    </w:p>
    <w:p w14:paraId="1C51964C"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hint="eastAsia"/>
          <w:color w:val="404040"/>
          <w:sz w:val="28"/>
          <w:szCs w:val="36"/>
        </w:rPr>
        <w:t>Effectiveness of focal_loss</w:t>
      </w:r>
    </w:p>
    <w:p w14:paraId="00FFAD24" w14:textId="77777777" w:rsidR="00B40C2D" w:rsidRDefault="00000000">
      <w:pPr>
        <w:ind w:firstLineChars="200" w:firstLine="480"/>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模型中，Focal Loss被用于解决类别不平衡问题，通过调整损失函数，使模型更关注难以分类的样本（尤其是少数类）。为了验证其有效性，我们进行了消融实验，通过10折交叉验证进行评估</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结果见</w:t>
      </w:r>
      <w:r>
        <w:rPr>
          <w:rFonts w:asciiTheme="majorEastAsia" w:eastAsiaTheme="majorEastAsia" w:hAnsiTheme="majorEastAsia" w:cs="Segoe UI"/>
          <w:color w:val="404040"/>
          <w:sz w:val="24"/>
        </w:rPr>
        <w:fldChar w:fldCharType="begin"/>
      </w:r>
      <w:r>
        <w:rPr>
          <w:rFonts w:asciiTheme="majorEastAsia" w:eastAsiaTheme="majorEastAsia" w:hAnsiTheme="majorEastAsia" w:cs="Segoe UI"/>
          <w:color w:val="404040"/>
          <w:sz w:val="24"/>
        </w:rPr>
        <w:instrText xml:space="preserve"> REF _Ref199687606 \h </w:instrText>
      </w:r>
      <w:r>
        <w:rPr>
          <w:rFonts w:asciiTheme="majorEastAsia" w:eastAsiaTheme="majorEastAsia" w:hAnsiTheme="majorEastAsia" w:cs="Segoe UI" w:hint="eastAsia"/>
          <w:color w:val="404040"/>
          <w:sz w:val="24"/>
        </w:rPr>
        <w:instrText xml:space="preserve"> \* MERGEFORMAT </w:instrText>
      </w:r>
      <w:r>
        <w:rPr>
          <w:rFonts w:asciiTheme="majorEastAsia" w:eastAsiaTheme="majorEastAsia" w:hAnsiTheme="majorEastAsia" w:cs="Segoe UI"/>
          <w:color w:val="404040"/>
          <w:sz w:val="24"/>
        </w:rPr>
      </w:r>
      <w:r>
        <w:rPr>
          <w:rFonts w:asciiTheme="majorEastAsia" w:eastAsiaTheme="majorEastAsia" w:hAnsiTheme="majorEastAsia" w:cs="Segoe UI"/>
          <w:color w:val="404040"/>
          <w:sz w:val="24"/>
        </w:rPr>
        <w:fldChar w:fldCharType="separate"/>
      </w:r>
      <w:r>
        <w:rPr>
          <w:rFonts w:asciiTheme="majorEastAsia" w:eastAsiaTheme="majorEastAsia" w:hAnsiTheme="majorEastAsia"/>
        </w:rPr>
        <w:t>Table 5</w:t>
      </w:r>
      <w:r>
        <w:rPr>
          <w:rFonts w:asciiTheme="majorEastAsia" w:eastAsiaTheme="majorEastAsia" w:hAnsiTheme="majorEastAsia" w:cs="Segoe UI"/>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对比了使用Focal Loss和不使用Focal Loss时的模型性能差异</w:t>
      </w:r>
      <w:r>
        <w:rPr>
          <w:rFonts w:asciiTheme="majorEastAsia" w:eastAsiaTheme="majorEastAsia" w:hAnsiTheme="majorEastAsia" w:cs="Segoe UI" w:hint="eastAsia"/>
          <w:color w:val="404040"/>
          <w:sz w:val="24"/>
        </w:rPr>
        <w:t>。在各项指标上，绝大部分指标都有不同程度的</w:t>
      </w:r>
      <w:r>
        <w:rPr>
          <w:rFonts w:asciiTheme="majorEastAsia" w:eastAsiaTheme="majorEastAsia" w:hAnsiTheme="majorEastAsia" w:cs="Segoe UI"/>
          <w:color w:val="404040"/>
          <w:sz w:val="24"/>
        </w:rPr>
        <w:t>衰减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在</w:t>
      </w:r>
      <w:r>
        <w:rPr>
          <w:rFonts w:asciiTheme="majorEastAsia" w:eastAsiaTheme="majorEastAsia" w:hAnsiTheme="majorEastAsia" w:cs="Segoe UI" w:hint="eastAsia"/>
          <w:color w:val="404040"/>
          <w:sz w:val="24"/>
        </w:rPr>
        <w:t>7</w:t>
      </w:r>
      <w:r>
        <w:rPr>
          <w:rFonts w:asciiTheme="majorEastAsia" w:eastAsiaTheme="majorEastAsia" w:hAnsiTheme="majorEastAsia" w:cs="Segoe UI"/>
          <w:color w:val="404040"/>
          <w:sz w:val="24"/>
        </w:rPr>
        <w:t>种亚细胞定位的预测中</w:t>
      </w:r>
      <w:r>
        <w:rPr>
          <w:rFonts w:asciiTheme="majorEastAsia" w:eastAsiaTheme="majorEastAsia" w:hAnsiTheme="majorEastAsia" w:cs="Segoe UI" w:hint="eastAsia"/>
          <w:color w:val="404040"/>
          <w:sz w:val="24"/>
        </w:rPr>
        <w:t>，除</w:t>
      </w:r>
      <w:r>
        <w:rPr>
          <w:rFonts w:asciiTheme="majorEastAsia" w:eastAsiaTheme="majorEastAsia" w:hAnsiTheme="majorEastAsia" w:cs="Segoe UI"/>
          <w:color w:val="404040"/>
          <w:sz w:val="24"/>
        </w:rPr>
        <w:t>Nucleus</w:t>
      </w:r>
      <w:r>
        <w:rPr>
          <w:rFonts w:asciiTheme="majorEastAsia" w:eastAsiaTheme="majorEastAsia" w:hAnsiTheme="majorEastAsia" w:cs="Segoe UI" w:hint="eastAsia"/>
          <w:color w:val="404040"/>
          <w:sz w:val="24"/>
        </w:rPr>
        <w:t>外的AUC分数均出现不同程度的</w:t>
      </w:r>
      <w:r>
        <w:rPr>
          <w:rFonts w:asciiTheme="majorEastAsia" w:eastAsiaTheme="majorEastAsia" w:hAnsiTheme="majorEastAsia" w:cs="Segoe UI"/>
          <w:color w:val="404040"/>
          <w:sz w:val="24"/>
        </w:rPr>
        <w:t>衰减</w:t>
      </w:r>
      <w:r>
        <w:rPr>
          <w:rFonts w:asciiTheme="majorEastAsia" w:eastAsiaTheme="majorEastAsia" w:hAnsiTheme="majorEastAsia" w:cs="Segoe UI" w:hint="eastAsia"/>
          <w:color w:val="404040"/>
          <w:sz w:val="24"/>
        </w:rPr>
        <w:t>，AUPR也出现了类似的</w:t>
      </w:r>
      <w:r>
        <w:rPr>
          <w:rFonts w:asciiTheme="majorEastAsia" w:eastAsiaTheme="majorEastAsia" w:hAnsiTheme="majorEastAsia" w:cs="Segoe UI"/>
          <w:color w:val="404040"/>
          <w:sz w:val="24"/>
        </w:rPr>
        <w:t>程度的衰减</w:t>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这些结果表明，缺失</w:t>
      </w:r>
      <w:r>
        <w:rPr>
          <w:rFonts w:asciiTheme="majorEastAsia" w:eastAsiaTheme="majorEastAsia" w:hAnsiTheme="majorEastAsia" w:cs="Segoe UI" w:hint="eastAsia"/>
          <w:color w:val="404040"/>
          <w:sz w:val="24"/>
        </w:rPr>
        <w:t>focal_loss</w:t>
      </w:r>
      <w:r>
        <w:rPr>
          <w:rFonts w:asciiTheme="majorEastAsia" w:eastAsiaTheme="majorEastAsia" w:hAnsiTheme="majorEastAsia" w:cs="Segoe UI"/>
          <w:color w:val="404040"/>
          <w:sz w:val="24"/>
        </w:rPr>
        <w:t>的分类器性能显著弱于</w:t>
      </w:r>
      <w:r>
        <w:rPr>
          <w:rFonts w:asciiTheme="majorEastAsia" w:eastAsiaTheme="majorEastAsia" w:hAnsiTheme="majorEastAsia" w:cs="Segoe UI" w:hint="eastAsia"/>
          <w:color w:val="404040"/>
          <w:sz w:val="24"/>
        </w:rPr>
        <w:t>CircLoc</w:t>
      </w:r>
      <w:r>
        <w:rPr>
          <w:rFonts w:asciiTheme="majorEastAsia" w:eastAsiaTheme="majorEastAsia" w:hAnsiTheme="majorEastAsia" w:cs="Segoe UI"/>
          <w:color w:val="404040"/>
          <w:sz w:val="24"/>
        </w:rPr>
        <w:t>，证实了该模块对模型性能的提升具有实质性作用。</w:t>
      </w:r>
    </w:p>
    <w:p w14:paraId="6BA1F526" w14:textId="17E1DCDB" w:rsidR="00B40C2D" w:rsidRDefault="00000000">
      <w:pPr>
        <w:pStyle w:val="a3"/>
        <w:keepNext/>
        <w:rPr>
          <w:rFonts w:asciiTheme="majorEastAsia" w:eastAsiaTheme="majorEastAsia" w:hAnsiTheme="majorEastAsia" w:hint="eastAsia"/>
        </w:rPr>
      </w:pPr>
      <w:bookmarkStart w:id="17" w:name="_Ref199687606"/>
      <w:r>
        <w:rPr>
          <w:rFonts w:asciiTheme="majorEastAsia" w:eastAsiaTheme="majorEastAsia" w:hAnsiTheme="majorEastAsia"/>
        </w:rPr>
        <w:t xml:space="preserve">Table </w:t>
      </w:r>
      <w:r w:rsidR="008F5276">
        <w:rPr>
          <w:rFonts w:asciiTheme="majorEastAsia" w:eastAsiaTheme="majorEastAsia" w:hAnsiTheme="majorEastAsia" w:hint="eastAsia"/>
        </w:rPr>
        <w:fldChar w:fldCharType="begin"/>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rPr>
        <w:instrText>SEQ Table \* ARABIC</w:instrText>
      </w:r>
      <w:r w:rsidR="008F5276">
        <w:rPr>
          <w:rFonts w:asciiTheme="majorEastAsia" w:eastAsiaTheme="majorEastAsia" w:hAnsiTheme="majorEastAsia" w:hint="eastAsia"/>
        </w:rPr>
        <w:instrText xml:space="preserve"> </w:instrText>
      </w:r>
      <w:r w:rsidR="008F5276">
        <w:rPr>
          <w:rFonts w:asciiTheme="majorEastAsia" w:eastAsiaTheme="majorEastAsia" w:hAnsiTheme="majorEastAsia" w:hint="eastAsia"/>
        </w:rPr>
        <w:fldChar w:fldCharType="separate"/>
      </w:r>
      <w:r w:rsidR="008F5276">
        <w:rPr>
          <w:rFonts w:asciiTheme="majorEastAsia" w:eastAsiaTheme="majorEastAsia" w:hAnsiTheme="majorEastAsia" w:hint="eastAsia"/>
          <w:noProof/>
        </w:rPr>
        <w:t>5</w:t>
      </w:r>
      <w:r w:rsidR="008F5276">
        <w:rPr>
          <w:rFonts w:asciiTheme="majorEastAsia" w:eastAsiaTheme="majorEastAsia" w:hAnsiTheme="majorEastAsia" w:hint="eastAsia"/>
        </w:rPr>
        <w:fldChar w:fldCharType="end"/>
      </w:r>
      <w:bookmarkEnd w:id="17"/>
      <w:r>
        <w:rPr>
          <w:rFonts w:asciiTheme="majorEastAsia" w:eastAsiaTheme="majorEastAsia" w:hAnsiTheme="majorEastAsia" w:hint="eastAsia"/>
        </w:rPr>
        <w:t>. Ablation test results on graph attention auto-</w:t>
      </w:r>
      <w:proofErr w:type="gramStart"/>
      <w:r>
        <w:rPr>
          <w:rFonts w:asciiTheme="majorEastAsia" w:eastAsiaTheme="majorEastAsia" w:hAnsiTheme="majorEastAsia" w:hint="eastAsia"/>
        </w:rPr>
        <w:t>encoder,self</w:t>
      </w:r>
      <w:proofErr w:type="gramEnd"/>
      <w:r>
        <w:rPr>
          <w:rFonts w:asciiTheme="majorEastAsia" w:eastAsiaTheme="majorEastAsia" w:hAnsiTheme="majorEastAsia" w:hint="eastAsia"/>
        </w:rPr>
        <w:t>-attention layer and focal_loss.</w:t>
      </w:r>
    </w:p>
    <w:tbl>
      <w:tblPr>
        <w:tblStyle w:val="ae"/>
        <w:tblW w:w="0" w:type="auto"/>
        <w:tblLook w:val="04A0" w:firstRow="1" w:lastRow="0" w:firstColumn="1" w:lastColumn="0" w:noHBand="0" w:noVBand="1"/>
      </w:tblPr>
      <w:tblGrid>
        <w:gridCol w:w="1713"/>
        <w:gridCol w:w="1252"/>
        <w:gridCol w:w="1614"/>
        <w:gridCol w:w="1609"/>
        <w:gridCol w:w="1374"/>
        <w:gridCol w:w="960"/>
      </w:tblGrid>
      <w:tr w:rsidR="00B40C2D" w14:paraId="4D387BF4" w14:textId="77777777" w:rsidTr="00B40C2D">
        <w:trPr>
          <w:cnfStyle w:val="100000000000" w:firstRow="1" w:lastRow="0" w:firstColumn="0" w:lastColumn="0" w:oddVBand="0" w:evenVBand="0" w:oddHBand="0" w:evenHBand="0" w:firstRowFirstColumn="0" w:firstRowLastColumn="0" w:lastRowFirstColumn="0" w:lastRowLastColumn="0"/>
        </w:trPr>
        <w:tc>
          <w:tcPr>
            <w:tcW w:w="1713" w:type="dxa"/>
          </w:tcPr>
          <w:p w14:paraId="3F46A00D"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Measurements</w:t>
            </w:r>
          </w:p>
        </w:tc>
        <w:tc>
          <w:tcPr>
            <w:tcW w:w="1252" w:type="dxa"/>
          </w:tcPr>
          <w:p w14:paraId="1376F1A9" w14:textId="77777777" w:rsidR="00B40C2D" w:rsidRDefault="00B40C2D">
            <w:pPr>
              <w:widowControl/>
              <w:jc w:val="left"/>
              <w:rPr>
                <w:rFonts w:asciiTheme="majorEastAsia" w:eastAsiaTheme="majorEastAsia" w:hAnsiTheme="majorEastAsia" w:cs="Segoe UI" w:hint="eastAsia"/>
                <w:b/>
                <w:bCs/>
                <w:color w:val="404040"/>
                <w:sz w:val="18"/>
                <w:szCs w:val="18"/>
              </w:rPr>
            </w:pPr>
          </w:p>
        </w:tc>
        <w:tc>
          <w:tcPr>
            <w:tcW w:w="1614" w:type="dxa"/>
          </w:tcPr>
          <w:p w14:paraId="5521993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Classifier without graph attention auto-encoder</w:t>
            </w:r>
          </w:p>
        </w:tc>
        <w:tc>
          <w:tcPr>
            <w:tcW w:w="1609" w:type="dxa"/>
          </w:tcPr>
          <w:p w14:paraId="04FEBA81"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Classifier without self-attention layer</w:t>
            </w:r>
          </w:p>
        </w:tc>
        <w:tc>
          <w:tcPr>
            <w:tcW w:w="1374" w:type="dxa"/>
          </w:tcPr>
          <w:p w14:paraId="3B45A834"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 xml:space="preserve">Classifier without </w:t>
            </w:r>
            <w:r>
              <w:rPr>
                <w:rFonts w:asciiTheme="majorEastAsia" w:eastAsiaTheme="majorEastAsia" w:hAnsiTheme="majorEastAsia" w:cs="Segoe UI" w:hint="eastAsia"/>
                <w:b/>
                <w:bCs/>
                <w:color w:val="404040"/>
                <w:sz w:val="18"/>
                <w:szCs w:val="18"/>
              </w:rPr>
              <w:t>focal_loss</w:t>
            </w:r>
          </w:p>
        </w:tc>
        <w:tc>
          <w:tcPr>
            <w:tcW w:w="960" w:type="dxa"/>
          </w:tcPr>
          <w:p w14:paraId="7A529559"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CircLoc</w:t>
            </w:r>
          </w:p>
        </w:tc>
      </w:tr>
      <w:tr w:rsidR="00B40C2D" w14:paraId="1807ED9F" w14:textId="77777777" w:rsidTr="00B40C2D">
        <w:tc>
          <w:tcPr>
            <w:tcW w:w="1713" w:type="dxa"/>
          </w:tcPr>
          <w:p w14:paraId="0AF82CF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AUC</w:t>
            </w:r>
          </w:p>
        </w:tc>
        <w:tc>
          <w:tcPr>
            <w:tcW w:w="1252" w:type="dxa"/>
          </w:tcPr>
          <w:p w14:paraId="6DE1B3BA"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06B8E90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0.755</w:t>
            </w:r>
          </w:p>
        </w:tc>
        <w:tc>
          <w:tcPr>
            <w:tcW w:w="1609" w:type="dxa"/>
          </w:tcPr>
          <w:p w14:paraId="7ED047C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0.737</w:t>
            </w:r>
          </w:p>
        </w:tc>
        <w:tc>
          <w:tcPr>
            <w:tcW w:w="1374" w:type="dxa"/>
          </w:tcPr>
          <w:p w14:paraId="175F34E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960" w:type="dxa"/>
          </w:tcPr>
          <w:p w14:paraId="3A7E3D71"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0.775</w:t>
            </w:r>
          </w:p>
        </w:tc>
      </w:tr>
      <w:tr w:rsidR="00B40C2D" w14:paraId="7A430EBD" w14:textId="77777777" w:rsidTr="00B40C2D">
        <w:tc>
          <w:tcPr>
            <w:tcW w:w="1713" w:type="dxa"/>
          </w:tcPr>
          <w:p w14:paraId="0333B0E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AUPR</w:t>
            </w:r>
          </w:p>
        </w:tc>
        <w:tc>
          <w:tcPr>
            <w:tcW w:w="1252" w:type="dxa"/>
          </w:tcPr>
          <w:p w14:paraId="7115391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563D397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0.411</w:t>
            </w:r>
          </w:p>
        </w:tc>
        <w:tc>
          <w:tcPr>
            <w:tcW w:w="1609" w:type="dxa"/>
          </w:tcPr>
          <w:p w14:paraId="05D3A8D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0.391</w:t>
            </w:r>
          </w:p>
        </w:tc>
        <w:tc>
          <w:tcPr>
            <w:tcW w:w="1374" w:type="dxa"/>
          </w:tcPr>
          <w:p w14:paraId="23FFE7B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0.418</w:t>
            </w:r>
          </w:p>
        </w:tc>
        <w:tc>
          <w:tcPr>
            <w:tcW w:w="960" w:type="dxa"/>
          </w:tcPr>
          <w:p w14:paraId="2B691B24"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0.433</w:t>
            </w:r>
          </w:p>
        </w:tc>
      </w:tr>
      <w:tr w:rsidR="00B40C2D" w14:paraId="33EF5F43" w14:textId="77777777" w:rsidTr="00B40C2D">
        <w:tc>
          <w:tcPr>
            <w:tcW w:w="1713" w:type="dxa"/>
          </w:tcPr>
          <w:p w14:paraId="7999609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 xml:space="preserve">Average </w:t>
            </w:r>
            <w:r>
              <w:rPr>
                <w:rFonts w:asciiTheme="majorEastAsia" w:eastAsiaTheme="majorEastAsia" w:hAnsiTheme="majorEastAsia" w:cs="Segoe UI" w:hint="eastAsia"/>
                <w:color w:val="404040"/>
                <w:sz w:val="18"/>
                <w:szCs w:val="18"/>
              </w:rPr>
              <w:t>A</w:t>
            </w:r>
            <w:r>
              <w:rPr>
                <w:rFonts w:asciiTheme="majorEastAsia" w:eastAsiaTheme="majorEastAsia" w:hAnsiTheme="majorEastAsia" w:cs="Segoe UI"/>
                <w:color w:val="404040"/>
                <w:sz w:val="18"/>
                <w:szCs w:val="18"/>
              </w:rPr>
              <w:t>ccuracy</w:t>
            </w:r>
          </w:p>
        </w:tc>
        <w:tc>
          <w:tcPr>
            <w:tcW w:w="1252" w:type="dxa"/>
          </w:tcPr>
          <w:p w14:paraId="0C1C864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3D576B5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0.798</w:t>
            </w:r>
          </w:p>
        </w:tc>
        <w:tc>
          <w:tcPr>
            <w:tcW w:w="1609" w:type="dxa"/>
          </w:tcPr>
          <w:p w14:paraId="5DBEC35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0.788</w:t>
            </w:r>
          </w:p>
        </w:tc>
        <w:tc>
          <w:tcPr>
            <w:tcW w:w="1374" w:type="dxa"/>
          </w:tcPr>
          <w:p w14:paraId="7A5A05A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0.832</w:t>
            </w:r>
          </w:p>
        </w:tc>
        <w:tc>
          <w:tcPr>
            <w:tcW w:w="960" w:type="dxa"/>
          </w:tcPr>
          <w:p w14:paraId="6A96BD7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0.807</w:t>
            </w:r>
          </w:p>
        </w:tc>
      </w:tr>
      <w:tr w:rsidR="00B40C2D" w14:paraId="05AED8D0" w14:textId="77777777" w:rsidTr="00B40C2D">
        <w:tc>
          <w:tcPr>
            <w:tcW w:w="1713" w:type="dxa"/>
          </w:tcPr>
          <w:p w14:paraId="01266FC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F1</w:t>
            </w:r>
          </w:p>
        </w:tc>
        <w:tc>
          <w:tcPr>
            <w:tcW w:w="1252" w:type="dxa"/>
          </w:tcPr>
          <w:p w14:paraId="3A9BB28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021C176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0.459</w:t>
            </w:r>
          </w:p>
        </w:tc>
        <w:tc>
          <w:tcPr>
            <w:tcW w:w="1609" w:type="dxa"/>
          </w:tcPr>
          <w:p w14:paraId="0ABB424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0.448</w:t>
            </w:r>
          </w:p>
        </w:tc>
        <w:tc>
          <w:tcPr>
            <w:tcW w:w="1374" w:type="dxa"/>
          </w:tcPr>
          <w:p w14:paraId="4CEA98E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0.455</w:t>
            </w:r>
          </w:p>
        </w:tc>
        <w:tc>
          <w:tcPr>
            <w:tcW w:w="960" w:type="dxa"/>
          </w:tcPr>
          <w:p w14:paraId="5EF8B118"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0.480</w:t>
            </w:r>
          </w:p>
        </w:tc>
      </w:tr>
      <w:tr w:rsidR="00B40C2D" w14:paraId="3C888818" w14:textId="77777777" w:rsidTr="00B40C2D">
        <w:tc>
          <w:tcPr>
            <w:tcW w:w="1713" w:type="dxa"/>
          </w:tcPr>
          <w:p w14:paraId="1FC0570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 Recall</w:t>
            </w:r>
          </w:p>
        </w:tc>
        <w:tc>
          <w:tcPr>
            <w:tcW w:w="1252" w:type="dxa"/>
          </w:tcPr>
          <w:p w14:paraId="30D7EC4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Pr>
          <w:p w14:paraId="669145B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0.627</w:t>
            </w:r>
          </w:p>
        </w:tc>
        <w:tc>
          <w:tcPr>
            <w:tcW w:w="1609" w:type="dxa"/>
          </w:tcPr>
          <w:p w14:paraId="6E2CBEC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0.614</w:t>
            </w:r>
          </w:p>
        </w:tc>
        <w:tc>
          <w:tcPr>
            <w:tcW w:w="1374" w:type="dxa"/>
          </w:tcPr>
          <w:p w14:paraId="45A063D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0.532</w:t>
            </w:r>
          </w:p>
        </w:tc>
        <w:tc>
          <w:tcPr>
            <w:tcW w:w="960" w:type="dxa"/>
          </w:tcPr>
          <w:p w14:paraId="3523E157"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0.645</w:t>
            </w:r>
          </w:p>
        </w:tc>
      </w:tr>
      <w:tr w:rsidR="00B40C2D" w14:paraId="2AC1FCC0" w14:textId="77777777" w:rsidTr="00B40C2D">
        <w:tc>
          <w:tcPr>
            <w:tcW w:w="1713" w:type="dxa"/>
            <w:tcBorders>
              <w:bottom w:val="single" w:sz="4" w:space="0" w:color="auto"/>
            </w:tcBorders>
          </w:tcPr>
          <w:p w14:paraId="5CD9D11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Average</w:t>
            </w:r>
            <w:r>
              <w:rPr>
                <w:rFonts w:asciiTheme="majorEastAsia" w:eastAsiaTheme="majorEastAsia" w:hAnsiTheme="majorEastAsia" w:cs="Segoe UI" w:hint="eastAsia"/>
                <w:color w:val="404040"/>
                <w:sz w:val="18"/>
                <w:szCs w:val="18"/>
              </w:rPr>
              <w:t xml:space="preserve"> </w:t>
            </w:r>
            <w:r>
              <w:rPr>
                <w:rFonts w:asciiTheme="majorEastAsia" w:eastAsiaTheme="majorEastAsia" w:hAnsiTheme="majorEastAsia" w:cs="Segoe UI"/>
                <w:color w:val="404040"/>
                <w:sz w:val="18"/>
                <w:szCs w:val="18"/>
              </w:rPr>
              <w:t>Precision</w:t>
            </w:r>
          </w:p>
        </w:tc>
        <w:tc>
          <w:tcPr>
            <w:tcW w:w="1252" w:type="dxa"/>
            <w:tcBorders>
              <w:bottom w:val="single" w:sz="4" w:space="0" w:color="auto"/>
            </w:tcBorders>
          </w:tcPr>
          <w:p w14:paraId="2B3841EB"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Borders>
              <w:bottom w:val="single" w:sz="4" w:space="0" w:color="auto"/>
            </w:tcBorders>
          </w:tcPr>
          <w:p w14:paraId="28459BE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0.444</w:t>
            </w:r>
          </w:p>
        </w:tc>
        <w:tc>
          <w:tcPr>
            <w:tcW w:w="1609" w:type="dxa"/>
            <w:tcBorders>
              <w:bottom w:val="single" w:sz="4" w:space="0" w:color="auto"/>
            </w:tcBorders>
          </w:tcPr>
          <w:p w14:paraId="117BBED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0.451</w:t>
            </w:r>
          </w:p>
        </w:tc>
        <w:tc>
          <w:tcPr>
            <w:tcW w:w="1374" w:type="dxa"/>
            <w:tcBorders>
              <w:bottom w:val="single" w:sz="4" w:space="0" w:color="auto"/>
            </w:tcBorders>
          </w:tcPr>
          <w:p w14:paraId="535545F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0.445</w:t>
            </w:r>
          </w:p>
        </w:tc>
        <w:tc>
          <w:tcPr>
            <w:tcW w:w="960" w:type="dxa"/>
            <w:tcBorders>
              <w:bottom w:val="single" w:sz="4" w:space="0" w:color="auto"/>
            </w:tcBorders>
          </w:tcPr>
          <w:p w14:paraId="0969612F"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0.464</w:t>
            </w:r>
          </w:p>
        </w:tc>
      </w:tr>
      <w:tr w:rsidR="00B40C2D" w14:paraId="4EE24950" w14:textId="77777777" w:rsidTr="00B40C2D">
        <w:tc>
          <w:tcPr>
            <w:tcW w:w="1713" w:type="dxa"/>
            <w:tcBorders>
              <w:top w:val="single" w:sz="4" w:space="0" w:color="auto"/>
              <w:bottom w:val="nil"/>
            </w:tcBorders>
          </w:tcPr>
          <w:p w14:paraId="6F0A1FD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AUC</w:t>
            </w:r>
          </w:p>
        </w:tc>
        <w:tc>
          <w:tcPr>
            <w:tcW w:w="1252" w:type="dxa"/>
            <w:tcBorders>
              <w:top w:val="single" w:sz="4" w:space="0" w:color="auto"/>
              <w:bottom w:val="nil"/>
            </w:tcBorders>
          </w:tcPr>
          <w:p w14:paraId="7273C5D4"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Borders>
              <w:top w:val="single" w:sz="4" w:space="0" w:color="auto"/>
              <w:bottom w:val="nil"/>
            </w:tcBorders>
          </w:tcPr>
          <w:p w14:paraId="5E7950AC"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09" w:type="dxa"/>
            <w:tcBorders>
              <w:top w:val="single" w:sz="4" w:space="0" w:color="auto"/>
              <w:bottom w:val="nil"/>
            </w:tcBorders>
          </w:tcPr>
          <w:p w14:paraId="6F18BDA8"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374" w:type="dxa"/>
            <w:tcBorders>
              <w:top w:val="single" w:sz="4" w:space="0" w:color="auto"/>
              <w:bottom w:val="nil"/>
            </w:tcBorders>
          </w:tcPr>
          <w:p w14:paraId="2330DAC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960" w:type="dxa"/>
            <w:tcBorders>
              <w:top w:val="single" w:sz="4" w:space="0" w:color="auto"/>
              <w:bottom w:val="nil"/>
            </w:tcBorders>
          </w:tcPr>
          <w:p w14:paraId="2446E595" w14:textId="77777777" w:rsidR="00B40C2D" w:rsidRDefault="00B40C2D">
            <w:pPr>
              <w:widowControl/>
              <w:jc w:val="left"/>
              <w:rPr>
                <w:rFonts w:asciiTheme="majorEastAsia" w:eastAsiaTheme="majorEastAsia" w:hAnsiTheme="majorEastAsia" w:cs="Segoe UI" w:hint="eastAsia"/>
                <w:b/>
                <w:bCs/>
                <w:color w:val="404040"/>
                <w:sz w:val="18"/>
                <w:szCs w:val="18"/>
              </w:rPr>
            </w:pPr>
          </w:p>
        </w:tc>
      </w:tr>
      <w:tr w:rsidR="00B40C2D" w14:paraId="251E48FA" w14:textId="77777777" w:rsidTr="00B40C2D">
        <w:tc>
          <w:tcPr>
            <w:tcW w:w="1713" w:type="dxa"/>
            <w:tcBorders>
              <w:top w:val="nil"/>
              <w:bottom w:val="nil"/>
            </w:tcBorders>
          </w:tcPr>
          <w:p w14:paraId="5A236724"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1B38AB3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614" w:type="dxa"/>
            <w:tcBorders>
              <w:top w:val="nil"/>
              <w:bottom w:val="nil"/>
            </w:tcBorders>
          </w:tcPr>
          <w:p w14:paraId="680C4BD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0.641</w:t>
            </w:r>
          </w:p>
        </w:tc>
        <w:tc>
          <w:tcPr>
            <w:tcW w:w="1609" w:type="dxa"/>
            <w:tcBorders>
              <w:top w:val="nil"/>
              <w:bottom w:val="nil"/>
            </w:tcBorders>
          </w:tcPr>
          <w:p w14:paraId="3AC67D8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0.651</w:t>
            </w:r>
          </w:p>
        </w:tc>
        <w:tc>
          <w:tcPr>
            <w:tcW w:w="1374" w:type="dxa"/>
            <w:tcBorders>
              <w:top w:val="nil"/>
              <w:bottom w:val="nil"/>
            </w:tcBorders>
          </w:tcPr>
          <w:p w14:paraId="6BCA78A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0.692</w:t>
            </w:r>
          </w:p>
        </w:tc>
        <w:tc>
          <w:tcPr>
            <w:tcW w:w="960" w:type="dxa"/>
            <w:tcBorders>
              <w:top w:val="nil"/>
              <w:bottom w:val="nil"/>
            </w:tcBorders>
          </w:tcPr>
          <w:p w14:paraId="5182E1D3"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0.750</w:t>
            </w:r>
          </w:p>
        </w:tc>
      </w:tr>
      <w:tr w:rsidR="00B40C2D" w14:paraId="644A8B0B" w14:textId="77777777" w:rsidTr="00B40C2D">
        <w:tc>
          <w:tcPr>
            <w:tcW w:w="1713" w:type="dxa"/>
            <w:tcBorders>
              <w:top w:val="nil"/>
            </w:tcBorders>
          </w:tcPr>
          <w:p w14:paraId="15E252D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26901E6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614" w:type="dxa"/>
            <w:tcBorders>
              <w:top w:val="nil"/>
            </w:tcBorders>
          </w:tcPr>
          <w:p w14:paraId="01EA2BC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0.773</w:t>
            </w:r>
          </w:p>
        </w:tc>
        <w:tc>
          <w:tcPr>
            <w:tcW w:w="1609" w:type="dxa"/>
            <w:tcBorders>
              <w:top w:val="nil"/>
            </w:tcBorders>
          </w:tcPr>
          <w:p w14:paraId="0F9E688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0.766</w:t>
            </w:r>
          </w:p>
        </w:tc>
        <w:tc>
          <w:tcPr>
            <w:tcW w:w="1374" w:type="dxa"/>
            <w:tcBorders>
              <w:top w:val="nil"/>
            </w:tcBorders>
          </w:tcPr>
          <w:p w14:paraId="4B1BF65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0.706</w:t>
            </w:r>
          </w:p>
        </w:tc>
        <w:tc>
          <w:tcPr>
            <w:tcW w:w="960" w:type="dxa"/>
            <w:tcBorders>
              <w:top w:val="nil"/>
            </w:tcBorders>
          </w:tcPr>
          <w:p w14:paraId="0AC5E0B7"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0.790</w:t>
            </w:r>
          </w:p>
        </w:tc>
      </w:tr>
      <w:tr w:rsidR="00B40C2D" w14:paraId="2E194033" w14:textId="77777777" w:rsidTr="00B40C2D">
        <w:tc>
          <w:tcPr>
            <w:tcW w:w="1713" w:type="dxa"/>
          </w:tcPr>
          <w:p w14:paraId="1AC5188A"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164B1D0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614" w:type="dxa"/>
          </w:tcPr>
          <w:p w14:paraId="5AA6816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0.801</w:t>
            </w:r>
          </w:p>
        </w:tc>
        <w:tc>
          <w:tcPr>
            <w:tcW w:w="1609" w:type="dxa"/>
          </w:tcPr>
          <w:p w14:paraId="40BEDB5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0.788</w:t>
            </w:r>
          </w:p>
        </w:tc>
        <w:tc>
          <w:tcPr>
            <w:tcW w:w="1374" w:type="dxa"/>
          </w:tcPr>
          <w:p w14:paraId="74F104F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0.800</w:t>
            </w:r>
          </w:p>
        </w:tc>
        <w:tc>
          <w:tcPr>
            <w:tcW w:w="960" w:type="dxa"/>
          </w:tcPr>
          <w:p w14:paraId="5D58AE08"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0.807</w:t>
            </w:r>
          </w:p>
        </w:tc>
      </w:tr>
      <w:tr w:rsidR="00B40C2D" w14:paraId="6E2E87DB" w14:textId="77777777" w:rsidTr="00B40C2D">
        <w:tc>
          <w:tcPr>
            <w:tcW w:w="1713" w:type="dxa"/>
          </w:tcPr>
          <w:p w14:paraId="19C0AF75"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1017E78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614" w:type="dxa"/>
          </w:tcPr>
          <w:p w14:paraId="001B1A7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0.753</w:t>
            </w:r>
          </w:p>
        </w:tc>
        <w:tc>
          <w:tcPr>
            <w:tcW w:w="1609" w:type="dxa"/>
          </w:tcPr>
          <w:p w14:paraId="2AD20B1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0.729</w:t>
            </w:r>
          </w:p>
        </w:tc>
        <w:tc>
          <w:tcPr>
            <w:tcW w:w="1374" w:type="dxa"/>
          </w:tcPr>
          <w:p w14:paraId="5700210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0.760</w:t>
            </w:r>
          </w:p>
        </w:tc>
        <w:tc>
          <w:tcPr>
            <w:tcW w:w="960" w:type="dxa"/>
          </w:tcPr>
          <w:p w14:paraId="3AFF4609"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0.798</w:t>
            </w:r>
          </w:p>
        </w:tc>
      </w:tr>
      <w:tr w:rsidR="00B40C2D" w14:paraId="4A3EA899" w14:textId="77777777" w:rsidTr="00B40C2D">
        <w:tc>
          <w:tcPr>
            <w:tcW w:w="1713" w:type="dxa"/>
          </w:tcPr>
          <w:p w14:paraId="0A1ECC6E"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5A9552C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614" w:type="dxa"/>
          </w:tcPr>
          <w:p w14:paraId="2D958CB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0.742</w:t>
            </w:r>
          </w:p>
        </w:tc>
        <w:tc>
          <w:tcPr>
            <w:tcW w:w="1609" w:type="dxa"/>
          </w:tcPr>
          <w:p w14:paraId="5D43011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0.727</w:t>
            </w:r>
          </w:p>
        </w:tc>
        <w:tc>
          <w:tcPr>
            <w:tcW w:w="1374" w:type="dxa"/>
          </w:tcPr>
          <w:p w14:paraId="6E8DE8A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0.735</w:t>
            </w:r>
          </w:p>
        </w:tc>
        <w:tc>
          <w:tcPr>
            <w:tcW w:w="960" w:type="dxa"/>
          </w:tcPr>
          <w:p w14:paraId="5523674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0.728</w:t>
            </w:r>
          </w:p>
        </w:tc>
      </w:tr>
      <w:tr w:rsidR="00B40C2D" w14:paraId="6FF53F93" w14:textId="77777777" w:rsidTr="00B40C2D">
        <w:tc>
          <w:tcPr>
            <w:tcW w:w="1713" w:type="dxa"/>
          </w:tcPr>
          <w:p w14:paraId="60D6D530"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2CBD89F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614" w:type="dxa"/>
          </w:tcPr>
          <w:p w14:paraId="7E61FE4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0.751</w:t>
            </w:r>
          </w:p>
        </w:tc>
        <w:tc>
          <w:tcPr>
            <w:tcW w:w="1609" w:type="dxa"/>
          </w:tcPr>
          <w:p w14:paraId="1063C85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0.692</w:t>
            </w:r>
          </w:p>
        </w:tc>
        <w:tc>
          <w:tcPr>
            <w:tcW w:w="1374" w:type="dxa"/>
          </w:tcPr>
          <w:p w14:paraId="5F08E15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0.712</w:t>
            </w:r>
          </w:p>
        </w:tc>
        <w:tc>
          <w:tcPr>
            <w:tcW w:w="960" w:type="dxa"/>
          </w:tcPr>
          <w:p w14:paraId="72BA4BA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0.727</w:t>
            </w:r>
          </w:p>
        </w:tc>
      </w:tr>
      <w:tr w:rsidR="00B40C2D" w14:paraId="0274FF39" w14:textId="77777777" w:rsidTr="00B40C2D">
        <w:tc>
          <w:tcPr>
            <w:tcW w:w="1713" w:type="dxa"/>
            <w:tcBorders>
              <w:bottom w:val="single" w:sz="4" w:space="0" w:color="auto"/>
            </w:tcBorders>
          </w:tcPr>
          <w:p w14:paraId="2E94D8A0"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bottom w:val="single" w:sz="4" w:space="0" w:color="auto"/>
            </w:tcBorders>
          </w:tcPr>
          <w:p w14:paraId="1F472D1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614" w:type="dxa"/>
            <w:tcBorders>
              <w:bottom w:val="single" w:sz="4" w:space="0" w:color="auto"/>
            </w:tcBorders>
          </w:tcPr>
          <w:p w14:paraId="0899C9B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0.825</w:t>
            </w:r>
          </w:p>
        </w:tc>
        <w:tc>
          <w:tcPr>
            <w:tcW w:w="1609" w:type="dxa"/>
            <w:tcBorders>
              <w:bottom w:val="single" w:sz="4" w:space="0" w:color="auto"/>
            </w:tcBorders>
          </w:tcPr>
          <w:p w14:paraId="0EDB21D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0.804</w:t>
            </w:r>
          </w:p>
        </w:tc>
        <w:tc>
          <w:tcPr>
            <w:tcW w:w="1374" w:type="dxa"/>
            <w:tcBorders>
              <w:bottom w:val="single" w:sz="4" w:space="0" w:color="auto"/>
            </w:tcBorders>
          </w:tcPr>
          <w:p w14:paraId="07AE9BE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0.817</w:t>
            </w:r>
          </w:p>
        </w:tc>
        <w:tc>
          <w:tcPr>
            <w:tcW w:w="960" w:type="dxa"/>
            <w:tcBorders>
              <w:bottom w:val="single" w:sz="4" w:space="0" w:color="auto"/>
            </w:tcBorders>
          </w:tcPr>
          <w:p w14:paraId="509F1853"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0.824</w:t>
            </w:r>
          </w:p>
        </w:tc>
      </w:tr>
      <w:tr w:rsidR="00B40C2D" w14:paraId="6FC5015E" w14:textId="77777777" w:rsidTr="00B40C2D">
        <w:tc>
          <w:tcPr>
            <w:tcW w:w="1713" w:type="dxa"/>
            <w:tcBorders>
              <w:top w:val="single" w:sz="4" w:space="0" w:color="auto"/>
              <w:bottom w:val="nil"/>
            </w:tcBorders>
          </w:tcPr>
          <w:p w14:paraId="5D6FE3B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AUPR</w:t>
            </w:r>
          </w:p>
        </w:tc>
        <w:tc>
          <w:tcPr>
            <w:tcW w:w="1252" w:type="dxa"/>
            <w:tcBorders>
              <w:top w:val="single" w:sz="4" w:space="0" w:color="auto"/>
              <w:bottom w:val="nil"/>
            </w:tcBorders>
          </w:tcPr>
          <w:p w14:paraId="2880555A"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14" w:type="dxa"/>
            <w:tcBorders>
              <w:top w:val="single" w:sz="4" w:space="0" w:color="auto"/>
              <w:bottom w:val="nil"/>
            </w:tcBorders>
          </w:tcPr>
          <w:p w14:paraId="5E57350F"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609" w:type="dxa"/>
            <w:tcBorders>
              <w:top w:val="single" w:sz="4" w:space="0" w:color="auto"/>
              <w:bottom w:val="nil"/>
            </w:tcBorders>
          </w:tcPr>
          <w:p w14:paraId="529B78B5"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374" w:type="dxa"/>
            <w:tcBorders>
              <w:top w:val="single" w:sz="4" w:space="0" w:color="auto"/>
              <w:bottom w:val="nil"/>
            </w:tcBorders>
          </w:tcPr>
          <w:p w14:paraId="3172A60D"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960" w:type="dxa"/>
            <w:tcBorders>
              <w:top w:val="single" w:sz="4" w:space="0" w:color="auto"/>
              <w:bottom w:val="nil"/>
            </w:tcBorders>
          </w:tcPr>
          <w:p w14:paraId="16590296" w14:textId="77777777" w:rsidR="00B40C2D" w:rsidRDefault="00B40C2D">
            <w:pPr>
              <w:widowControl/>
              <w:jc w:val="left"/>
              <w:rPr>
                <w:rFonts w:asciiTheme="majorEastAsia" w:eastAsiaTheme="majorEastAsia" w:hAnsiTheme="majorEastAsia" w:cs="Segoe UI" w:hint="eastAsia"/>
                <w:b/>
                <w:bCs/>
                <w:color w:val="404040"/>
                <w:sz w:val="18"/>
                <w:szCs w:val="18"/>
              </w:rPr>
            </w:pPr>
          </w:p>
        </w:tc>
      </w:tr>
      <w:tr w:rsidR="00B40C2D" w14:paraId="3175D3F5" w14:textId="77777777" w:rsidTr="00B40C2D">
        <w:tc>
          <w:tcPr>
            <w:tcW w:w="1713" w:type="dxa"/>
            <w:tcBorders>
              <w:top w:val="nil"/>
              <w:bottom w:val="nil"/>
            </w:tcBorders>
          </w:tcPr>
          <w:p w14:paraId="73D25AEC"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bottom w:val="nil"/>
            </w:tcBorders>
          </w:tcPr>
          <w:p w14:paraId="67F6FF9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614" w:type="dxa"/>
            <w:tcBorders>
              <w:top w:val="nil"/>
              <w:bottom w:val="nil"/>
            </w:tcBorders>
          </w:tcPr>
          <w:p w14:paraId="09B8982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0.118</w:t>
            </w:r>
          </w:p>
        </w:tc>
        <w:tc>
          <w:tcPr>
            <w:tcW w:w="1609" w:type="dxa"/>
            <w:tcBorders>
              <w:top w:val="nil"/>
              <w:bottom w:val="nil"/>
            </w:tcBorders>
          </w:tcPr>
          <w:p w14:paraId="09B0F40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0.125</w:t>
            </w:r>
          </w:p>
        </w:tc>
        <w:tc>
          <w:tcPr>
            <w:tcW w:w="1374" w:type="dxa"/>
            <w:tcBorders>
              <w:top w:val="nil"/>
              <w:bottom w:val="nil"/>
            </w:tcBorders>
          </w:tcPr>
          <w:p w14:paraId="648E28F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0.23</w:t>
            </w:r>
            <w:r>
              <w:rPr>
                <w:rFonts w:asciiTheme="majorEastAsia" w:eastAsiaTheme="majorEastAsia" w:hAnsiTheme="majorEastAsia" w:cs="Segoe UI" w:hint="eastAsia"/>
                <w:color w:val="404040"/>
                <w:sz w:val="18"/>
                <w:szCs w:val="18"/>
              </w:rPr>
              <w:t>3</w:t>
            </w:r>
          </w:p>
        </w:tc>
        <w:tc>
          <w:tcPr>
            <w:tcW w:w="960" w:type="dxa"/>
            <w:tcBorders>
              <w:top w:val="nil"/>
              <w:bottom w:val="nil"/>
            </w:tcBorders>
          </w:tcPr>
          <w:p w14:paraId="3CC6CB66"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0.234</w:t>
            </w:r>
          </w:p>
        </w:tc>
      </w:tr>
      <w:tr w:rsidR="00B40C2D" w14:paraId="4DB42662" w14:textId="77777777" w:rsidTr="00B40C2D">
        <w:tc>
          <w:tcPr>
            <w:tcW w:w="1713" w:type="dxa"/>
            <w:tcBorders>
              <w:top w:val="nil"/>
            </w:tcBorders>
          </w:tcPr>
          <w:p w14:paraId="105137EC"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Borders>
              <w:top w:val="nil"/>
            </w:tcBorders>
          </w:tcPr>
          <w:p w14:paraId="16DB0B0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614" w:type="dxa"/>
            <w:tcBorders>
              <w:top w:val="nil"/>
            </w:tcBorders>
          </w:tcPr>
          <w:p w14:paraId="6C42475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0.187</w:t>
            </w:r>
          </w:p>
        </w:tc>
        <w:tc>
          <w:tcPr>
            <w:tcW w:w="1609" w:type="dxa"/>
            <w:tcBorders>
              <w:top w:val="nil"/>
            </w:tcBorders>
          </w:tcPr>
          <w:p w14:paraId="45B8630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0.179</w:t>
            </w:r>
          </w:p>
        </w:tc>
        <w:tc>
          <w:tcPr>
            <w:tcW w:w="1374" w:type="dxa"/>
            <w:tcBorders>
              <w:top w:val="nil"/>
            </w:tcBorders>
          </w:tcPr>
          <w:p w14:paraId="4DBBA57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0.196</w:t>
            </w:r>
          </w:p>
        </w:tc>
        <w:tc>
          <w:tcPr>
            <w:tcW w:w="960" w:type="dxa"/>
            <w:tcBorders>
              <w:top w:val="nil"/>
            </w:tcBorders>
          </w:tcPr>
          <w:p w14:paraId="32C86AC0"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0.259</w:t>
            </w:r>
          </w:p>
        </w:tc>
      </w:tr>
      <w:tr w:rsidR="00B40C2D" w14:paraId="0E7FC2E0" w14:textId="77777777" w:rsidTr="00B40C2D">
        <w:tc>
          <w:tcPr>
            <w:tcW w:w="1713" w:type="dxa"/>
          </w:tcPr>
          <w:p w14:paraId="13316741"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6952E06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614" w:type="dxa"/>
          </w:tcPr>
          <w:p w14:paraId="2B78E887"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b/>
                <w:bCs/>
                <w:color w:val="404040"/>
                <w:sz w:val="18"/>
                <w:szCs w:val="18"/>
              </w:rPr>
              <w:t>0.330</w:t>
            </w:r>
          </w:p>
        </w:tc>
        <w:tc>
          <w:tcPr>
            <w:tcW w:w="1609" w:type="dxa"/>
          </w:tcPr>
          <w:p w14:paraId="587D539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0.263</w:t>
            </w:r>
          </w:p>
        </w:tc>
        <w:tc>
          <w:tcPr>
            <w:tcW w:w="1374" w:type="dxa"/>
          </w:tcPr>
          <w:p w14:paraId="5AFCABC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0.276</w:t>
            </w:r>
          </w:p>
        </w:tc>
        <w:tc>
          <w:tcPr>
            <w:tcW w:w="960" w:type="dxa"/>
          </w:tcPr>
          <w:p w14:paraId="2A5809E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0.254</w:t>
            </w:r>
          </w:p>
        </w:tc>
      </w:tr>
      <w:tr w:rsidR="00B40C2D" w14:paraId="5E89CCC5" w14:textId="77777777" w:rsidTr="00B40C2D">
        <w:tc>
          <w:tcPr>
            <w:tcW w:w="1713" w:type="dxa"/>
          </w:tcPr>
          <w:p w14:paraId="5663BF73"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4BB481D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614" w:type="dxa"/>
          </w:tcPr>
          <w:p w14:paraId="66E5A72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0.281</w:t>
            </w:r>
          </w:p>
        </w:tc>
        <w:tc>
          <w:tcPr>
            <w:tcW w:w="1609" w:type="dxa"/>
          </w:tcPr>
          <w:p w14:paraId="134AC77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1374" w:type="dxa"/>
          </w:tcPr>
          <w:p w14:paraId="36D38FA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0.332</w:t>
            </w:r>
          </w:p>
        </w:tc>
        <w:tc>
          <w:tcPr>
            <w:tcW w:w="960" w:type="dxa"/>
          </w:tcPr>
          <w:p w14:paraId="6D39D413"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0.386</w:t>
            </w:r>
          </w:p>
        </w:tc>
      </w:tr>
      <w:tr w:rsidR="00B40C2D" w14:paraId="1A0274BE" w14:textId="77777777" w:rsidTr="00B40C2D">
        <w:tc>
          <w:tcPr>
            <w:tcW w:w="1713" w:type="dxa"/>
          </w:tcPr>
          <w:p w14:paraId="678182BF"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6E81C9C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614" w:type="dxa"/>
          </w:tcPr>
          <w:p w14:paraId="0426C2D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0.686</w:t>
            </w:r>
          </w:p>
        </w:tc>
        <w:tc>
          <w:tcPr>
            <w:tcW w:w="1609" w:type="dxa"/>
          </w:tcPr>
          <w:p w14:paraId="5E0C989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0.657</w:t>
            </w:r>
          </w:p>
        </w:tc>
        <w:tc>
          <w:tcPr>
            <w:tcW w:w="1374" w:type="dxa"/>
          </w:tcPr>
          <w:p w14:paraId="244638A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w:t>
            </w:r>
            <w:r>
              <w:rPr>
                <w:rFonts w:asciiTheme="majorEastAsia" w:eastAsiaTheme="majorEastAsia" w:hAnsiTheme="majorEastAsia" w:cs="Segoe UI" w:hint="eastAsia"/>
                <w:color w:val="404040"/>
                <w:sz w:val="18"/>
                <w:szCs w:val="18"/>
              </w:rPr>
              <w:t>5</w:t>
            </w:r>
            <w:r>
              <w:rPr>
                <w:rFonts w:asciiTheme="majorEastAsia" w:eastAsiaTheme="majorEastAsia" w:hAnsiTheme="majorEastAsia" w:cs="Segoe UI"/>
                <w:color w:val="404040"/>
                <w:sz w:val="18"/>
                <w:szCs w:val="18"/>
              </w:rPr>
              <w:t>4</w:t>
            </w:r>
          </w:p>
        </w:tc>
        <w:tc>
          <w:tcPr>
            <w:tcW w:w="960" w:type="dxa"/>
          </w:tcPr>
          <w:p w14:paraId="34F79B02"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0.660</w:t>
            </w:r>
          </w:p>
        </w:tc>
      </w:tr>
      <w:tr w:rsidR="00B40C2D" w14:paraId="1380D1E3" w14:textId="77777777" w:rsidTr="00B40C2D">
        <w:tc>
          <w:tcPr>
            <w:tcW w:w="1713" w:type="dxa"/>
          </w:tcPr>
          <w:p w14:paraId="6B456EC5"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61B75BE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614" w:type="dxa"/>
          </w:tcPr>
          <w:p w14:paraId="524E5D5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0.503</w:t>
            </w:r>
          </w:p>
        </w:tc>
        <w:tc>
          <w:tcPr>
            <w:tcW w:w="1609" w:type="dxa"/>
          </w:tcPr>
          <w:p w14:paraId="23601FC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0.435</w:t>
            </w:r>
          </w:p>
        </w:tc>
        <w:tc>
          <w:tcPr>
            <w:tcW w:w="1374" w:type="dxa"/>
          </w:tcPr>
          <w:p w14:paraId="39AF3C0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0.465</w:t>
            </w:r>
          </w:p>
        </w:tc>
        <w:tc>
          <w:tcPr>
            <w:tcW w:w="960" w:type="dxa"/>
          </w:tcPr>
          <w:p w14:paraId="129FB21E" w14:textId="77777777" w:rsidR="00B40C2D" w:rsidRDefault="00000000">
            <w:pPr>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0.582</w:t>
            </w:r>
          </w:p>
        </w:tc>
      </w:tr>
      <w:tr w:rsidR="00B40C2D" w14:paraId="3AF15B8C" w14:textId="77777777" w:rsidTr="00B40C2D">
        <w:tc>
          <w:tcPr>
            <w:tcW w:w="1713" w:type="dxa"/>
          </w:tcPr>
          <w:p w14:paraId="5000B2A7" w14:textId="77777777" w:rsidR="00B40C2D" w:rsidRDefault="00B40C2D">
            <w:pPr>
              <w:widowControl/>
              <w:jc w:val="left"/>
              <w:rPr>
                <w:rFonts w:asciiTheme="majorEastAsia" w:eastAsiaTheme="majorEastAsia" w:hAnsiTheme="majorEastAsia" w:cs="Segoe UI" w:hint="eastAsia"/>
                <w:color w:val="404040"/>
                <w:sz w:val="18"/>
                <w:szCs w:val="18"/>
              </w:rPr>
            </w:pPr>
          </w:p>
        </w:tc>
        <w:tc>
          <w:tcPr>
            <w:tcW w:w="1252" w:type="dxa"/>
          </w:tcPr>
          <w:p w14:paraId="45D28B8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614" w:type="dxa"/>
          </w:tcPr>
          <w:p w14:paraId="3940AD1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0.770</w:t>
            </w:r>
          </w:p>
        </w:tc>
        <w:tc>
          <w:tcPr>
            <w:tcW w:w="1609" w:type="dxa"/>
          </w:tcPr>
          <w:p w14:paraId="013D116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0.746</w:t>
            </w:r>
          </w:p>
        </w:tc>
        <w:tc>
          <w:tcPr>
            <w:tcW w:w="1374" w:type="dxa"/>
          </w:tcPr>
          <w:p w14:paraId="1ED1E2F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0.758</w:t>
            </w:r>
          </w:p>
        </w:tc>
        <w:tc>
          <w:tcPr>
            <w:tcW w:w="960" w:type="dxa"/>
          </w:tcPr>
          <w:p w14:paraId="74FD77FF" w14:textId="77777777" w:rsidR="00B40C2D" w:rsidRDefault="00000000">
            <w:pPr>
              <w:keepNext/>
              <w:widowControl/>
              <w:jc w:val="left"/>
              <w:rPr>
                <w:rFonts w:asciiTheme="majorEastAsia" w:eastAsiaTheme="majorEastAsia" w:hAnsiTheme="majorEastAsia" w:cs="Segoe UI" w:hint="eastAsia"/>
                <w:b/>
                <w:bCs/>
                <w:color w:val="404040"/>
                <w:sz w:val="18"/>
                <w:szCs w:val="18"/>
              </w:rPr>
            </w:pPr>
            <w:r>
              <w:rPr>
                <w:rFonts w:asciiTheme="majorEastAsia" w:eastAsiaTheme="majorEastAsia" w:hAnsiTheme="majorEastAsia" w:cs="Segoe UI" w:hint="eastAsia"/>
                <w:b/>
                <w:bCs/>
                <w:color w:val="404040"/>
                <w:sz w:val="18"/>
                <w:szCs w:val="18"/>
              </w:rPr>
              <w:t>0.795</w:t>
            </w:r>
          </w:p>
        </w:tc>
      </w:tr>
    </w:tbl>
    <w:p w14:paraId="5851ED4A" w14:textId="77777777" w:rsidR="00B40C2D" w:rsidRDefault="00B40C2D">
      <w:pPr>
        <w:pStyle w:val="a3"/>
        <w:rPr>
          <w:rFonts w:asciiTheme="majorEastAsia" w:eastAsiaTheme="majorEastAsia" w:hAnsiTheme="majorEastAsia" w:cs="Segoe UI" w:hint="eastAsia"/>
          <w:color w:val="404040"/>
          <w:sz w:val="24"/>
        </w:rPr>
      </w:pPr>
    </w:p>
    <w:p w14:paraId="5A090B25" w14:textId="77777777" w:rsidR="00B40C2D" w:rsidRDefault="00000000">
      <w:pPr>
        <w:pStyle w:val="2"/>
        <w:rPr>
          <w:rFonts w:asciiTheme="majorEastAsia" w:hAnsiTheme="majorEastAsia" w:cs="Segoe UI" w:hint="eastAsia"/>
          <w:color w:val="404040"/>
          <w:sz w:val="28"/>
          <w:szCs w:val="36"/>
        </w:rPr>
      </w:pPr>
      <w:r>
        <w:rPr>
          <w:rFonts w:asciiTheme="majorEastAsia" w:hAnsiTheme="majorEastAsia" w:cs="Segoe UI"/>
          <w:color w:val="404040"/>
          <w:sz w:val="28"/>
          <w:szCs w:val="36"/>
        </w:rPr>
        <w:t>Performance comparison with previous prediction methods</w:t>
      </w:r>
    </w:p>
    <w:p w14:paraId="27FD6D6C" w14:textId="25DC94F3" w:rsidR="00B40C2D" w:rsidRDefault="00000000">
      <w:pPr>
        <w:widowControl/>
        <w:ind w:firstLineChars="200" w:firstLine="480"/>
        <w:jc w:val="left"/>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由于目前没有使用深度学习模型进行circRNA亚细胞预测的检测方法，考虑到同为ncRNA的miRNA亚细胞定位预测，已有多种方法被提出，本研究中我们采用三种代表性的方法：</w:t>
      </w:r>
      <w:r>
        <w:rPr>
          <w:rFonts w:asciiTheme="majorEastAsia" w:eastAsiaTheme="majorEastAsia" w:hAnsiTheme="majorEastAsia" w:cs="Segoe UI"/>
          <w:color w:val="404040"/>
          <w:sz w:val="24"/>
        </w:rPr>
        <w:t>MiRLoc</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color w:val="404040"/>
          <w:sz w:val="24"/>
        </w:rPr>
        <w:instrText>REF _Ref201493237 \r \h</w:instrText>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[21]</w:t>
      </w:r>
      <w:r w:rsidR="005960ED">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w:t>
      </w:r>
      <w:r>
        <w:rPr>
          <w:rFonts w:asciiTheme="majorEastAsia" w:eastAsiaTheme="majorEastAsia" w:hAnsiTheme="majorEastAsia" w:cs="Segoe UI"/>
          <w:color w:val="404040"/>
          <w:sz w:val="24"/>
        </w:rPr>
        <w:t>MirLocPredictor</w:t>
      </w:r>
      <w:r w:rsidR="005960ED">
        <w:rPr>
          <w:rFonts w:asciiTheme="majorEastAsia" w:eastAsiaTheme="majorEastAsia" w:hAnsiTheme="majorEastAsia" w:cs="Segoe UI" w:hint="eastAsia"/>
          <w:color w:val="404040"/>
          <w:sz w:val="24"/>
        </w:rPr>
        <w:fldChar w:fldCharType="begin"/>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color w:val="404040"/>
          <w:sz w:val="24"/>
        </w:rPr>
        <w:instrText>REF _Ref201493243 \r \h</w:instrText>
      </w:r>
      <w:r w:rsidR="005960ED">
        <w:rPr>
          <w:rFonts w:asciiTheme="majorEastAsia" w:eastAsiaTheme="majorEastAsia" w:hAnsiTheme="majorEastAsia" w:cs="Segoe UI" w:hint="eastAsia"/>
          <w:color w:val="404040"/>
          <w:sz w:val="24"/>
        </w:rPr>
        <w:instrText xml:space="preserve"> </w:instrText>
      </w:r>
      <w:r w:rsidR="005960ED">
        <w:rPr>
          <w:rFonts w:asciiTheme="majorEastAsia" w:eastAsiaTheme="majorEastAsia" w:hAnsiTheme="majorEastAsia" w:cs="Segoe UI" w:hint="eastAsia"/>
          <w:color w:val="404040"/>
          <w:sz w:val="24"/>
        </w:rPr>
      </w:r>
      <w:r w:rsidR="005960ED">
        <w:rPr>
          <w:rFonts w:asciiTheme="majorEastAsia" w:eastAsiaTheme="majorEastAsia" w:hAnsiTheme="majorEastAsia" w:cs="Segoe UI" w:hint="eastAsia"/>
          <w:color w:val="404040"/>
          <w:sz w:val="24"/>
        </w:rPr>
        <w:fldChar w:fldCharType="separate"/>
      </w:r>
      <w:r w:rsidR="005960ED">
        <w:rPr>
          <w:rFonts w:asciiTheme="majorEastAsia" w:eastAsiaTheme="majorEastAsia" w:hAnsiTheme="majorEastAsia" w:cs="Segoe UI" w:hint="eastAsia"/>
          <w:color w:val="404040"/>
          <w:sz w:val="24"/>
        </w:rPr>
        <w:t>[22]</w:t>
      </w:r>
      <w:r w:rsidR="005960ED">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，PMLocMSCAM，使用本研究的数据集进行比较预测比较，结果如</w:t>
      </w:r>
      <w:r>
        <w:rPr>
          <w:rFonts w:asciiTheme="majorEastAsia" w:eastAsiaTheme="majorEastAsia" w:hAnsiTheme="majorEastAsia" w:cs="Segoe UI" w:hint="eastAsia"/>
          <w:color w:val="404040"/>
          <w:sz w:val="24"/>
        </w:rPr>
        <w:fldChar w:fldCharType="begin"/>
      </w:r>
      <w:r>
        <w:rPr>
          <w:rFonts w:asciiTheme="majorEastAsia" w:eastAsiaTheme="majorEastAsia" w:hAnsiTheme="majorEastAsia" w:cs="Segoe UI" w:hint="eastAsia"/>
          <w:color w:val="404040"/>
          <w:sz w:val="24"/>
        </w:rPr>
        <w:instrText xml:space="preserve"> REF _Ref27507 \h </w:instrText>
      </w:r>
      <w:r>
        <w:rPr>
          <w:rFonts w:asciiTheme="majorEastAsia" w:eastAsiaTheme="majorEastAsia" w:hAnsiTheme="majorEastAsia" w:cs="Segoe UI" w:hint="eastAsia"/>
          <w:color w:val="404040"/>
          <w:sz w:val="24"/>
        </w:rPr>
      </w:r>
      <w:r>
        <w:rPr>
          <w:rFonts w:asciiTheme="majorEastAsia" w:eastAsiaTheme="majorEastAsia" w:hAnsiTheme="majorEastAsia" w:cs="Segoe UI" w:hint="eastAsia"/>
          <w:color w:val="404040"/>
          <w:sz w:val="24"/>
        </w:rPr>
        <w:fldChar w:fldCharType="separate"/>
      </w:r>
      <w:r>
        <w:t>Table 6</w:t>
      </w:r>
      <w:r>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和</w:t>
      </w:r>
      <w:r w:rsidR="008F5276">
        <w:rPr>
          <w:rFonts w:asciiTheme="majorEastAsia" w:eastAsiaTheme="majorEastAsia" w:hAnsiTheme="majorEastAsia" w:cs="Segoe UI" w:hint="eastAsia"/>
          <w:color w:val="404040"/>
          <w:sz w:val="24"/>
        </w:rPr>
        <w:fldChar w:fldCharType="begin"/>
      </w:r>
      <w:r w:rsidR="008F5276">
        <w:rPr>
          <w:rFonts w:asciiTheme="majorEastAsia" w:eastAsiaTheme="majorEastAsia" w:hAnsiTheme="majorEastAsia" w:cs="Segoe UI" w:hint="eastAsia"/>
          <w:color w:val="404040"/>
          <w:sz w:val="24"/>
        </w:rPr>
        <w:instrText xml:space="preserve"> REF _Ref201486132 \h </w:instrText>
      </w:r>
      <w:r w:rsidR="008F5276">
        <w:rPr>
          <w:rFonts w:asciiTheme="majorEastAsia" w:eastAsiaTheme="majorEastAsia" w:hAnsiTheme="majorEastAsia" w:cs="Segoe UI" w:hint="eastAsia"/>
          <w:color w:val="404040"/>
          <w:sz w:val="24"/>
        </w:rPr>
      </w:r>
      <w:r w:rsidR="008F5276">
        <w:rPr>
          <w:rFonts w:asciiTheme="majorEastAsia" w:eastAsiaTheme="majorEastAsia" w:hAnsiTheme="majorEastAsia" w:cs="Segoe UI" w:hint="eastAsia"/>
          <w:color w:val="404040"/>
          <w:sz w:val="24"/>
        </w:rPr>
        <w:fldChar w:fldCharType="separate"/>
      </w:r>
      <w:r w:rsidR="008F5276">
        <w:t xml:space="preserve">Table </w:t>
      </w:r>
      <w:r w:rsidR="008F5276">
        <w:rPr>
          <w:noProof/>
        </w:rPr>
        <w:t>7</w:t>
      </w:r>
      <w:r w:rsidR="008F5276">
        <w:rPr>
          <w:rFonts w:asciiTheme="majorEastAsia" w:eastAsiaTheme="majorEastAsia" w:hAnsiTheme="majorEastAsia" w:cs="Segoe UI" w:hint="eastAsia"/>
          <w:color w:val="404040"/>
          <w:sz w:val="24"/>
        </w:rPr>
        <w:fldChar w:fldCharType="end"/>
      </w:r>
      <w:r>
        <w:rPr>
          <w:rFonts w:asciiTheme="majorEastAsia" w:eastAsiaTheme="majorEastAsia" w:hAnsiTheme="majorEastAsia" w:cs="Segoe UI" w:hint="eastAsia"/>
          <w:color w:val="404040"/>
          <w:sz w:val="24"/>
        </w:rPr>
        <w:t>显示：</w:t>
      </w:r>
    </w:p>
    <w:p w14:paraId="405BA00D" w14:textId="77777777" w:rsidR="00B40C2D" w:rsidRDefault="00B40C2D">
      <w:pPr>
        <w:widowControl/>
        <w:ind w:firstLineChars="200" w:firstLine="480"/>
        <w:jc w:val="left"/>
        <w:rPr>
          <w:rFonts w:asciiTheme="majorEastAsia" w:eastAsiaTheme="majorEastAsia" w:hAnsiTheme="majorEastAsia" w:cs="Segoe UI" w:hint="eastAsia"/>
          <w:color w:val="404040"/>
          <w:sz w:val="24"/>
        </w:rPr>
      </w:pPr>
    </w:p>
    <w:p w14:paraId="1617E812" w14:textId="5500F792" w:rsidR="00B40C2D" w:rsidRDefault="00000000">
      <w:pPr>
        <w:pStyle w:val="a3"/>
        <w:rPr>
          <w:rFonts w:eastAsia="宋体"/>
        </w:rPr>
      </w:pPr>
      <w:bookmarkStart w:id="18" w:name="_Ref27507"/>
      <w:r>
        <w:t xml:space="preserve">Table </w:t>
      </w:r>
      <w:fldSimple w:instr=" SEQ Table \* ARABIC ">
        <w:r w:rsidR="008F5276">
          <w:rPr>
            <w:noProof/>
          </w:rPr>
          <w:t>6</w:t>
        </w:r>
      </w:fldSimple>
      <w:bookmarkEnd w:id="18"/>
      <w:r>
        <w:rPr>
          <w:rFonts w:hint="eastAsia"/>
        </w:rPr>
        <w:t>. Performance comparison in terms of AUC</w:t>
      </w:r>
    </w:p>
    <w:tbl>
      <w:tblPr>
        <w:tblStyle w:val="a9"/>
        <w:tblW w:w="0" w:type="auto"/>
        <w:tblLook w:val="04A0" w:firstRow="1" w:lastRow="0" w:firstColumn="1" w:lastColumn="0" w:noHBand="0" w:noVBand="1"/>
      </w:tblPr>
      <w:tblGrid>
        <w:gridCol w:w="1704"/>
        <w:gridCol w:w="1704"/>
        <w:gridCol w:w="1704"/>
        <w:gridCol w:w="1705"/>
        <w:gridCol w:w="1705"/>
      </w:tblGrid>
      <w:tr w:rsidR="00B40C2D" w14:paraId="4C3A7DD5" w14:textId="77777777">
        <w:tc>
          <w:tcPr>
            <w:tcW w:w="1704" w:type="dxa"/>
            <w:tcBorders>
              <w:top w:val="single" w:sz="12" w:space="0" w:color="000000"/>
              <w:left w:val="nil"/>
              <w:bottom w:val="single" w:sz="4" w:space="0" w:color="000000"/>
              <w:right w:val="nil"/>
              <w:tl2br w:val="nil"/>
            </w:tcBorders>
            <w:shd w:val="clear" w:color="auto" w:fill="FFFFFF"/>
          </w:tcPr>
          <w:p w14:paraId="4F32C87F" w14:textId="43F0BED2" w:rsidR="00B40C2D" w:rsidRPr="00A07A5C"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Subcellular localization</w:t>
            </w:r>
          </w:p>
        </w:tc>
        <w:tc>
          <w:tcPr>
            <w:tcW w:w="1704" w:type="dxa"/>
            <w:tcBorders>
              <w:top w:val="single" w:sz="12" w:space="0" w:color="000000"/>
              <w:left w:val="nil"/>
              <w:bottom w:val="single" w:sz="4" w:space="0" w:color="000000"/>
              <w:right w:val="nil"/>
            </w:tcBorders>
            <w:shd w:val="clear" w:color="auto" w:fill="FFFFFF"/>
          </w:tcPr>
          <w:p w14:paraId="6A428E3F"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w:t>
            </w:r>
          </w:p>
        </w:tc>
        <w:tc>
          <w:tcPr>
            <w:tcW w:w="1704" w:type="dxa"/>
            <w:tcBorders>
              <w:top w:val="single" w:sz="12" w:space="0" w:color="000000"/>
              <w:left w:val="nil"/>
              <w:bottom w:val="single" w:sz="4" w:space="0" w:color="000000"/>
              <w:right w:val="nil"/>
            </w:tcBorders>
            <w:shd w:val="clear" w:color="auto" w:fill="FFFFFF"/>
          </w:tcPr>
          <w:p w14:paraId="1657E620"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MirLocPredictor</w:t>
            </w:r>
          </w:p>
        </w:tc>
        <w:tc>
          <w:tcPr>
            <w:tcW w:w="1705" w:type="dxa"/>
            <w:tcBorders>
              <w:top w:val="single" w:sz="12" w:space="0" w:color="000000"/>
              <w:left w:val="nil"/>
              <w:bottom w:val="single" w:sz="4" w:space="0" w:color="000000"/>
              <w:right w:val="nil"/>
            </w:tcBorders>
            <w:shd w:val="clear" w:color="auto" w:fill="FFFFFF"/>
          </w:tcPr>
          <w:p w14:paraId="452407EE"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PMLocMSCAM</w:t>
            </w:r>
          </w:p>
        </w:tc>
        <w:tc>
          <w:tcPr>
            <w:tcW w:w="1705" w:type="dxa"/>
            <w:tcBorders>
              <w:top w:val="single" w:sz="12" w:space="0" w:color="000000"/>
              <w:left w:val="nil"/>
              <w:bottom w:val="single" w:sz="4" w:space="0" w:color="000000"/>
              <w:right w:val="nil"/>
            </w:tcBorders>
            <w:shd w:val="clear" w:color="auto" w:fill="FFFFFF"/>
          </w:tcPr>
          <w:p w14:paraId="1251190B"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circLoc</w:t>
            </w:r>
          </w:p>
        </w:tc>
      </w:tr>
      <w:tr w:rsidR="00B40C2D" w14:paraId="6CA40C05" w14:textId="77777777">
        <w:tc>
          <w:tcPr>
            <w:tcW w:w="1704" w:type="dxa"/>
            <w:tcBorders>
              <w:top w:val="single" w:sz="4" w:space="0" w:color="000000"/>
              <w:left w:val="nil"/>
              <w:bottom w:val="nil"/>
              <w:right w:val="nil"/>
            </w:tcBorders>
            <w:shd w:val="clear" w:color="auto" w:fill="auto"/>
          </w:tcPr>
          <w:p w14:paraId="7AFA2F1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704" w:type="dxa"/>
            <w:tcBorders>
              <w:top w:val="single" w:sz="4" w:space="0" w:color="000000"/>
              <w:left w:val="nil"/>
              <w:bottom w:val="nil"/>
              <w:right w:val="nil"/>
            </w:tcBorders>
            <w:shd w:val="clear" w:color="auto" w:fill="FFFFFF"/>
          </w:tcPr>
          <w:p w14:paraId="6AEE6A7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0.62</w:t>
            </w:r>
            <w:r>
              <w:rPr>
                <w:rFonts w:asciiTheme="majorEastAsia" w:eastAsiaTheme="majorEastAsia" w:hAnsiTheme="majorEastAsia" w:cs="Segoe UI" w:hint="eastAsia"/>
                <w:color w:val="404040"/>
                <w:sz w:val="18"/>
                <w:szCs w:val="18"/>
              </w:rPr>
              <w:t>2</w:t>
            </w:r>
          </w:p>
        </w:tc>
        <w:tc>
          <w:tcPr>
            <w:tcW w:w="1704" w:type="dxa"/>
            <w:tcBorders>
              <w:top w:val="single" w:sz="4" w:space="0" w:color="000000"/>
              <w:left w:val="nil"/>
              <w:bottom w:val="nil"/>
              <w:right w:val="nil"/>
            </w:tcBorders>
            <w:shd w:val="clear" w:color="auto" w:fill="FFFFFF"/>
          </w:tcPr>
          <w:p w14:paraId="577725A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0.532</w:t>
            </w:r>
          </w:p>
        </w:tc>
        <w:tc>
          <w:tcPr>
            <w:tcW w:w="1705" w:type="dxa"/>
            <w:tcBorders>
              <w:top w:val="single" w:sz="4" w:space="0" w:color="000000"/>
              <w:left w:val="nil"/>
              <w:bottom w:val="nil"/>
              <w:right w:val="nil"/>
            </w:tcBorders>
            <w:shd w:val="clear" w:color="auto" w:fill="FFFFFF"/>
          </w:tcPr>
          <w:p w14:paraId="10ED64F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w:t>
            </w:r>
            <w:r>
              <w:rPr>
                <w:rFonts w:asciiTheme="majorEastAsia" w:eastAsiaTheme="majorEastAsia" w:hAnsiTheme="majorEastAsia" w:cs="Segoe UI"/>
                <w:color w:val="404040"/>
                <w:sz w:val="18"/>
                <w:szCs w:val="18"/>
              </w:rPr>
              <w:t>617</w:t>
            </w:r>
          </w:p>
        </w:tc>
        <w:tc>
          <w:tcPr>
            <w:tcW w:w="1705" w:type="dxa"/>
            <w:tcBorders>
              <w:top w:val="single" w:sz="4" w:space="0" w:color="000000"/>
              <w:left w:val="nil"/>
              <w:bottom w:val="nil"/>
              <w:right w:val="nil"/>
            </w:tcBorders>
            <w:shd w:val="clear" w:color="auto" w:fill="FFFFFF"/>
          </w:tcPr>
          <w:p w14:paraId="7E465E7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0.750</w:t>
            </w:r>
          </w:p>
        </w:tc>
      </w:tr>
      <w:tr w:rsidR="00B40C2D" w14:paraId="33E8E27B" w14:textId="77777777">
        <w:tc>
          <w:tcPr>
            <w:tcW w:w="1704" w:type="dxa"/>
            <w:tcBorders>
              <w:top w:val="nil"/>
              <w:left w:val="nil"/>
              <w:bottom w:val="nil"/>
              <w:right w:val="nil"/>
            </w:tcBorders>
            <w:shd w:val="clear" w:color="auto" w:fill="auto"/>
          </w:tcPr>
          <w:p w14:paraId="6C6E0C9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704" w:type="dxa"/>
            <w:tcBorders>
              <w:top w:val="nil"/>
              <w:left w:val="nil"/>
              <w:bottom w:val="nil"/>
              <w:right w:val="nil"/>
            </w:tcBorders>
            <w:shd w:val="clear" w:color="auto" w:fill="FFFFFF"/>
          </w:tcPr>
          <w:p w14:paraId="54E5983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0.720</w:t>
            </w:r>
          </w:p>
        </w:tc>
        <w:tc>
          <w:tcPr>
            <w:tcW w:w="1704" w:type="dxa"/>
            <w:tcBorders>
              <w:top w:val="nil"/>
              <w:left w:val="nil"/>
              <w:bottom w:val="nil"/>
              <w:right w:val="nil"/>
            </w:tcBorders>
            <w:shd w:val="clear" w:color="auto" w:fill="FFFFFF"/>
          </w:tcPr>
          <w:p w14:paraId="070CE84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0.512</w:t>
            </w:r>
          </w:p>
        </w:tc>
        <w:tc>
          <w:tcPr>
            <w:tcW w:w="1705" w:type="dxa"/>
            <w:tcBorders>
              <w:top w:val="nil"/>
              <w:left w:val="nil"/>
              <w:bottom w:val="nil"/>
              <w:right w:val="nil"/>
            </w:tcBorders>
            <w:shd w:val="clear" w:color="auto" w:fill="FFFFFF"/>
          </w:tcPr>
          <w:p w14:paraId="15376FB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w:t>
            </w:r>
            <w:r>
              <w:rPr>
                <w:rFonts w:asciiTheme="majorEastAsia" w:eastAsiaTheme="majorEastAsia" w:hAnsiTheme="majorEastAsia" w:cs="Segoe UI"/>
                <w:color w:val="404040"/>
                <w:sz w:val="18"/>
                <w:szCs w:val="18"/>
              </w:rPr>
              <w:t>669</w:t>
            </w:r>
          </w:p>
        </w:tc>
        <w:tc>
          <w:tcPr>
            <w:tcW w:w="1705" w:type="dxa"/>
            <w:tcBorders>
              <w:top w:val="nil"/>
              <w:left w:val="nil"/>
              <w:bottom w:val="nil"/>
              <w:right w:val="nil"/>
            </w:tcBorders>
            <w:shd w:val="clear" w:color="auto" w:fill="FFFFFF"/>
          </w:tcPr>
          <w:p w14:paraId="0AC49DDD"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0.790</w:t>
            </w:r>
          </w:p>
        </w:tc>
      </w:tr>
      <w:tr w:rsidR="00B40C2D" w14:paraId="7FF72532" w14:textId="77777777">
        <w:tc>
          <w:tcPr>
            <w:tcW w:w="1704" w:type="dxa"/>
            <w:tcBorders>
              <w:top w:val="nil"/>
              <w:left w:val="nil"/>
              <w:bottom w:val="nil"/>
              <w:right w:val="nil"/>
            </w:tcBorders>
            <w:shd w:val="clear" w:color="auto" w:fill="auto"/>
          </w:tcPr>
          <w:p w14:paraId="08454F3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704" w:type="dxa"/>
            <w:tcBorders>
              <w:top w:val="nil"/>
              <w:left w:val="nil"/>
              <w:bottom w:val="nil"/>
              <w:right w:val="nil"/>
            </w:tcBorders>
            <w:shd w:val="clear" w:color="auto" w:fill="FFFFFF"/>
          </w:tcPr>
          <w:p w14:paraId="65FBE1B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0.520</w:t>
            </w:r>
          </w:p>
        </w:tc>
        <w:tc>
          <w:tcPr>
            <w:tcW w:w="1704" w:type="dxa"/>
            <w:tcBorders>
              <w:top w:val="nil"/>
              <w:left w:val="nil"/>
              <w:bottom w:val="nil"/>
              <w:right w:val="nil"/>
            </w:tcBorders>
            <w:shd w:val="clear" w:color="auto" w:fill="FFFFFF"/>
          </w:tcPr>
          <w:p w14:paraId="0B0F1E4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0.509</w:t>
            </w:r>
          </w:p>
        </w:tc>
        <w:tc>
          <w:tcPr>
            <w:tcW w:w="1705" w:type="dxa"/>
            <w:tcBorders>
              <w:top w:val="nil"/>
              <w:left w:val="nil"/>
              <w:bottom w:val="nil"/>
              <w:right w:val="nil"/>
            </w:tcBorders>
            <w:shd w:val="clear" w:color="auto" w:fill="FFFFFF"/>
          </w:tcPr>
          <w:p w14:paraId="5E0A03E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0.766</w:t>
            </w:r>
          </w:p>
        </w:tc>
        <w:tc>
          <w:tcPr>
            <w:tcW w:w="1705" w:type="dxa"/>
            <w:tcBorders>
              <w:top w:val="nil"/>
              <w:left w:val="nil"/>
              <w:bottom w:val="nil"/>
              <w:right w:val="nil"/>
            </w:tcBorders>
            <w:shd w:val="clear" w:color="auto" w:fill="FFFFFF"/>
          </w:tcPr>
          <w:p w14:paraId="41449AE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0.807</w:t>
            </w:r>
          </w:p>
        </w:tc>
      </w:tr>
      <w:tr w:rsidR="00B40C2D" w14:paraId="562A063B" w14:textId="77777777">
        <w:tc>
          <w:tcPr>
            <w:tcW w:w="1704" w:type="dxa"/>
            <w:tcBorders>
              <w:top w:val="nil"/>
              <w:left w:val="nil"/>
              <w:bottom w:val="nil"/>
              <w:right w:val="nil"/>
            </w:tcBorders>
            <w:shd w:val="clear" w:color="auto" w:fill="auto"/>
          </w:tcPr>
          <w:p w14:paraId="475ADF7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704" w:type="dxa"/>
            <w:tcBorders>
              <w:top w:val="nil"/>
              <w:left w:val="nil"/>
              <w:bottom w:val="nil"/>
              <w:right w:val="nil"/>
            </w:tcBorders>
            <w:shd w:val="clear" w:color="auto" w:fill="FFFFFF"/>
          </w:tcPr>
          <w:p w14:paraId="043C565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0.704</w:t>
            </w:r>
          </w:p>
        </w:tc>
        <w:tc>
          <w:tcPr>
            <w:tcW w:w="1704" w:type="dxa"/>
            <w:tcBorders>
              <w:top w:val="nil"/>
              <w:left w:val="nil"/>
              <w:bottom w:val="nil"/>
              <w:right w:val="nil"/>
            </w:tcBorders>
            <w:shd w:val="clear" w:color="auto" w:fill="FFFFFF"/>
          </w:tcPr>
          <w:p w14:paraId="19C812BB"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0.579</w:t>
            </w:r>
          </w:p>
        </w:tc>
        <w:tc>
          <w:tcPr>
            <w:tcW w:w="1705" w:type="dxa"/>
            <w:tcBorders>
              <w:top w:val="nil"/>
              <w:left w:val="nil"/>
              <w:bottom w:val="nil"/>
              <w:right w:val="nil"/>
            </w:tcBorders>
            <w:shd w:val="clear" w:color="auto" w:fill="FFFFFF"/>
          </w:tcPr>
          <w:p w14:paraId="2B83575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0.679</w:t>
            </w:r>
          </w:p>
        </w:tc>
        <w:tc>
          <w:tcPr>
            <w:tcW w:w="1705" w:type="dxa"/>
            <w:tcBorders>
              <w:top w:val="nil"/>
              <w:left w:val="nil"/>
              <w:bottom w:val="nil"/>
              <w:right w:val="nil"/>
            </w:tcBorders>
            <w:shd w:val="clear" w:color="auto" w:fill="FFFFFF"/>
          </w:tcPr>
          <w:p w14:paraId="68BA826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0.798</w:t>
            </w:r>
          </w:p>
        </w:tc>
      </w:tr>
      <w:tr w:rsidR="00B40C2D" w14:paraId="038087B0" w14:textId="77777777">
        <w:tc>
          <w:tcPr>
            <w:tcW w:w="1704" w:type="dxa"/>
            <w:tcBorders>
              <w:top w:val="nil"/>
              <w:left w:val="nil"/>
              <w:bottom w:val="nil"/>
              <w:right w:val="nil"/>
            </w:tcBorders>
            <w:shd w:val="clear" w:color="auto" w:fill="auto"/>
          </w:tcPr>
          <w:p w14:paraId="253DEA9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704" w:type="dxa"/>
            <w:tcBorders>
              <w:top w:val="nil"/>
              <w:left w:val="nil"/>
              <w:bottom w:val="nil"/>
              <w:right w:val="nil"/>
            </w:tcBorders>
            <w:shd w:val="clear" w:color="auto" w:fill="FFFFFF"/>
          </w:tcPr>
          <w:p w14:paraId="535D5E9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0.677</w:t>
            </w:r>
          </w:p>
        </w:tc>
        <w:tc>
          <w:tcPr>
            <w:tcW w:w="1704" w:type="dxa"/>
            <w:tcBorders>
              <w:top w:val="nil"/>
              <w:left w:val="nil"/>
              <w:bottom w:val="nil"/>
              <w:right w:val="nil"/>
            </w:tcBorders>
            <w:shd w:val="clear" w:color="auto" w:fill="FFFFFF"/>
          </w:tcPr>
          <w:p w14:paraId="4001FE5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0.553</w:t>
            </w:r>
          </w:p>
        </w:tc>
        <w:tc>
          <w:tcPr>
            <w:tcW w:w="1705" w:type="dxa"/>
            <w:tcBorders>
              <w:top w:val="nil"/>
              <w:left w:val="nil"/>
              <w:bottom w:val="nil"/>
              <w:right w:val="nil"/>
            </w:tcBorders>
            <w:shd w:val="clear" w:color="auto" w:fill="FFFFFF"/>
          </w:tcPr>
          <w:p w14:paraId="2786969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0.723</w:t>
            </w:r>
          </w:p>
        </w:tc>
        <w:tc>
          <w:tcPr>
            <w:tcW w:w="1705" w:type="dxa"/>
            <w:tcBorders>
              <w:top w:val="nil"/>
              <w:left w:val="nil"/>
              <w:bottom w:val="nil"/>
              <w:right w:val="nil"/>
            </w:tcBorders>
            <w:shd w:val="clear" w:color="auto" w:fill="FFFFFF"/>
          </w:tcPr>
          <w:p w14:paraId="714BC990"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0.728</w:t>
            </w:r>
          </w:p>
        </w:tc>
      </w:tr>
      <w:tr w:rsidR="00B40C2D" w14:paraId="4CD2A406" w14:textId="77777777">
        <w:tc>
          <w:tcPr>
            <w:tcW w:w="1704" w:type="dxa"/>
            <w:tcBorders>
              <w:top w:val="nil"/>
              <w:left w:val="nil"/>
              <w:bottom w:val="nil"/>
              <w:right w:val="nil"/>
            </w:tcBorders>
            <w:shd w:val="clear" w:color="auto" w:fill="auto"/>
          </w:tcPr>
          <w:p w14:paraId="74E20D7A"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704" w:type="dxa"/>
            <w:tcBorders>
              <w:top w:val="nil"/>
              <w:left w:val="nil"/>
              <w:bottom w:val="nil"/>
              <w:right w:val="nil"/>
            </w:tcBorders>
            <w:shd w:val="clear" w:color="auto" w:fill="FFFFFF"/>
          </w:tcPr>
          <w:p w14:paraId="1F2BF76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0.550</w:t>
            </w:r>
          </w:p>
        </w:tc>
        <w:tc>
          <w:tcPr>
            <w:tcW w:w="1704" w:type="dxa"/>
            <w:tcBorders>
              <w:top w:val="nil"/>
              <w:left w:val="nil"/>
              <w:bottom w:val="nil"/>
              <w:right w:val="nil"/>
            </w:tcBorders>
            <w:shd w:val="clear" w:color="auto" w:fill="FFFFFF"/>
          </w:tcPr>
          <w:p w14:paraId="74BF34C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0.532</w:t>
            </w:r>
          </w:p>
        </w:tc>
        <w:tc>
          <w:tcPr>
            <w:tcW w:w="1705" w:type="dxa"/>
            <w:tcBorders>
              <w:top w:val="nil"/>
              <w:left w:val="nil"/>
              <w:bottom w:val="nil"/>
              <w:right w:val="nil"/>
            </w:tcBorders>
            <w:shd w:val="clear" w:color="auto" w:fill="FFFFFF"/>
          </w:tcPr>
          <w:p w14:paraId="6659D5D8"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0.595</w:t>
            </w:r>
          </w:p>
        </w:tc>
        <w:tc>
          <w:tcPr>
            <w:tcW w:w="1705" w:type="dxa"/>
            <w:tcBorders>
              <w:top w:val="nil"/>
              <w:left w:val="nil"/>
              <w:bottom w:val="nil"/>
              <w:right w:val="nil"/>
            </w:tcBorders>
            <w:shd w:val="clear" w:color="auto" w:fill="FFFFFF"/>
          </w:tcPr>
          <w:p w14:paraId="1F6DA7FF"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0.727</w:t>
            </w:r>
          </w:p>
        </w:tc>
      </w:tr>
      <w:tr w:rsidR="00B40C2D" w14:paraId="06BD86D2" w14:textId="77777777">
        <w:tc>
          <w:tcPr>
            <w:tcW w:w="1704" w:type="dxa"/>
            <w:tcBorders>
              <w:top w:val="nil"/>
              <w:left w:val="nil"/>
              <w:bottom w:val="single" w:sz="12" w:space="0" w:color="000000"/>
              <w:right w:val="nil"/>
            </w:tcBorders>
            <w:shd w:val="clear" w:color="auto" w:fill="auto"/>
          </w:tcPr>
          <w:p w14:paraId="47EB517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704" w:type="dxa"/>
            <w:tcBorders>
              <w:top w:val="nil"/>
              <w:left w:val="nil"/>
              <w:bottom w:val="single" w:sz="12" w:space="0" w:color="000000"/>
              <w:right w:val="nil"/>
            </w:tcBorders>
            <w:shd w:val="clear" w:color="auto" w:fill="FFFFFF"/>
          </w:tcPr>
          <w:p w14:paraId="29A159E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0.588</w:t>
            </w:r>
          </w:p>
        </w:tc>
        <w:tc>
          <w:tcPr>
            <w:tcW w:w="1704" w:type="dxa"/>
            <w:tcBorders>
              <w:top w:val="nil"/>
              <w:left w:val="nil"/>
              <w:bottom w:val="single" w:sz="12" w:space="0" w:color="000000"/>
              <w:right w:val="nil"/>
            </w:tcBorders>
            <w:shd w:val="clear" w:color="auto" w:fill="FFFFFF"/>
          </w:tcPr>
          <w:p w14:paraId="2E022585"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0.645</w:t>
            </w:r>
          </w:p>
        </w:tc>
        <w:tc>
          <w:tcPr>
            <w:tcW w:w="1705" w:type="dxa"/>
            <w:tcBorders>
              <w:top w:val="nil"/>
              <w:left w:val="nil"/>
              <w:bottom w:val="single" w:sz="12" w:space="0" w:color="000000"/>
              <w:right w:val="nil"/>
            </w:tcBorders>
            <w:shd w:val="clear" w:color="auto" w:fill="FFFFFF"/>
          </w:tcPr>
          <w:p w14:paraId="236620C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0.812</w:t>
            </w:r>
          </w:p>
        </w:tc>
        <w:tc>
          <w:tcPr>
            <w:tcW w:w="1705" w:type="dxa"/>
            <w:tcBorders>
              <w:top w:val="nil"/>
              <w:left w:val="nil"/>
              <w:bottom w:val="single" w:sz="12" w:space="0" w:color="000000"/>
              <w:right w:val="nil"/>
            </w:tcBorders>
            <w:shd w:val="clear" w:color="auto" w:fill="FFFFFF"/>
          </w:tcPr>
          <w:p w14:paraId="20054F3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b/>
                <w:bCs/>
                <w:color w:val="404040"/>
                <w:sz w:val="18"/>
                <w:szCs w:val="18"/>
              </w:rPr>
              <w:t>0.824</w:t>
            </w:r>
          </w:p>
        </w:tc>
      </w:tr>
    </w:tbl>
    <w:p w14:paraId="3696A56E" w14:textId="77777777" w:rsidR="00B40C2D" w:rsidRDefault="00B40C2D" w:rsidP="008F5276">
      <w:pPr>
        <w:widowControl/>
        <w:jc w:val="left"/>
        <w:rPr>
          <w:rFonts w:asciiTheme="majorEastAsia" w:eastAsiaTheme="majorEastAsia" w:hAnsiTheme="majorEastAsia" w:cs="Segoe UI" w:hint="eastAsia"/>
          <w:color w:val="404040"/>
          <w:sz w:val="24"/>
        </w:rPr>
      </w:pPr>
    </w:p>
    <w:p w14:paraId="72FECFEF" w14:textId="5FB8CB44" w:rsidR="008F5276" w:rsidRDefault="008F5276" w:rsidP="008F5276">
      <w:pPr>
        <w:pStyle w:val="a3"/>
        <w:keepNext/>
      </w:pPr>
      <w:bookmarkStart w:id="19" w:name="_Ref201486132"/>
      <w:r>
        <w:t xml:space="preserve">Table </w:t>
      </w:r>
      <w:fldSimple w:instr=" SEQ Table \* ARABIC ">
        <w:r>
          <w:rPr>
            <w:noProof/>
          </w:rPr>
          <w:t>7</w:t>
        </w:r>
      </w:fldSimple>
      <w:bookmarkEnd w:id="19"/>
      <w:r>
        <w:rPr>
          <w:rFonts w:hint="eastAsia"/>
        </w:rPr>
        <w:t xml:space="preserve">. </w:t>
      </w:r>
      <w:r w:rsidRPr="002F5C90">
        <w:rPr>
          <w:rFonts w:hint="eastAsia"/>
        </w:rPr>
        <w:t>Performance comparison in terms of AU</w:t>
      </w:r>
      <w:r>
        <w:rPr>
          <w:rFonts w:hint="eastAsia"/>
        </w:rPr>
        <w:t>PR</w:t>
      </w:r>
    </w:p>
    <w:tbl>
      <w:tblPr>
        <w:tblStyle w:val="a9"/>
        <w:tblW w:w="0" w:type="auto"/>
        <w:tblLook w:val="04A0" w:firstRow="1" w:lastRow="0" w:firstColumn="1" w:lastColumn="0" w:noHBand="0" w:noVBand="1"/>
      </w:tblPr>
      <w:tblGrid>
        <w:gridCol w:w="1704"/>
        <w:gridCol w:w="1704"/>
        <w:gridCol w:w="1704"/>
        <w:gridCol w:w="1705"/>
        <w:gridCol w:w="1705"/>
      </w:tblGrid>
      <w:tr w:rsidR="00B40C2D" w14:paraId="0A05CC1E" w14:textId="77777777">
        <w:tc>
          <w:tcPr>
            <w:tcW w:w="1704" w:type="dxa"/>
            <w:tcBorders>
              <w:top w:val="single" w:sz="12" w:space="0" w:color="000000"/>
              <w:left w:val="nil"/>
              <w:bottom w:val="single" w:sz="4" w:space="0" w:color="000000"/>
              <w:right w:val="nil"/>
              <w:tl2br w:val="nil"/>
            </w:tcBorders>
            <w:shd w:val="clear" w:color="auto" w:fill="FFFFFF"/>
          </w:tcPr>
          <w:p w14:paraId="7FAF2AF3" w14:textId="2BADC1CE" w:rsidR="00B40C2D" w:rsidRPr="00A07A5C"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Subcellular localization</w:t>
            </w:r>
          </w:p>
        </w:tc>
        <w:tc>
          <w:tcPr>
            <w:tcW w:w="1704" w:type="dxa"/>
            <w:tcBorders>
              <w:top w:val="single" w:sz="12" w:space="0" w:color="000000"/>
              <w:left w:val="nil"/>
              <w:bottom w:val="single" w:sz="4" w:space="0" w:color="000000"/>
              <w:right w:val="nil"/>
            </w:tcBorders>
            <w:shd w:val="clear" w:color="auto" w:fill="FFFFFF"/>
          </w:tcPr>
          <w:p w14:paraId="7E0FADAD" w14:textId="3FB7C949" w:rsidR="001C5C74" w:rsidRPr="001C5C74"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MiRLoc</w:t>
            </w:r>
          </w:p>
        </w:tc>
        <w:tc>
          <w:tcPr>
            <w:tcW w:w="1704" w:type="dxa"/>
            <w:tcBorders>
              <w:top w:val="single" w:sz="12" w:space="0" w:color="000000"/>
              <w:left w:val="nil"/>
              <w:bottom w:val="single" w:sz="4" w:space="0" w:color="000000"/>
              <w:right w:val="nil"/>
            </w:tcBorders>
            <w:shd w:val="clear" w:color="auto" w:fill="FFFFFF"/>
          </w:tcPr>
          <w:p w14:paraId="3A86BA5D"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color w:val="404040"/>
                <w:sz w:val="18"/>
                <w:szCs w:val="18"/>
              </w:rPr>
              <w:t>MirLocPredictor</w:t>
            </w:r>
          </w:p>
        </w:tc>
        <w:tc>
          <w:tcPr>
            <w:tcW w:w="1705" w:type="dxa"/>
            <w:tcBorders>
              <w:top w:val="single" w:sz="12" w:space="0" w:color="000000"/>
              <w:left w:val="nil"/>
              <w:bottom w:val="single" w:sz="4" w:space="0" w:color="000000"/>
              <w:right w:val="nil"/>
            </w:tcBorders>
            <w:shd w:val="clear" w:color="auto" w:fill="FFFFFF"/>
          </w:tcPr>
          <w:p w14:paraId="5DA846A5"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PMLocMSCAM</w:t>
            </w:r>
          </w:p>
        </w:tc>
        <w:tc>
          <w:tcPr>
            <w:tcW w:w="1705" w:type="dxa"/>
            <w:tcBorders>
              <w:top w:val="single" w:sz="12" w:space="0" w:color="000000"/>
              <w:left w:val="nil"/>
              <w:bottom w:val="single" w:sz="4" w:space="0" w:color="000000"/>
              <w:right w:val="nil"/>
            </w:tcBorders>
            <w:shd w:val="clear" w:color="auto" w:fill="FFFFFF"/>
          </w:tcPr>
          <w:p w14:paraId="1BAAFF03" w14:textId="77777777" w:rsidR="00B40C2D" w:rsidRDefault="00000000">
            <w:pPr>
              <w:widowControl/>
              <w:jc w:val="left"/>
              <w:rPr>
                <w:rFonts w:asciiTheme="majorEastAsia" w:eastAsiaTheme="majorEastAsia" w:hAnsiTheme="majorEastAsia" w:cs="Segoe UI" w:hint="eastAsia"/>
                <w:color w:val="000000"/>
                <w:sz w:val="24"/>
              </w:rPr>
            </w:pPr>
            <w:r>
              <w:rPr>
                <w:rFonts w:asciiTheme="majorEastAsia" w:eastAsiaTheme="majorEastAsia" w:hAnsiTheme="majorEastAsia" w:cs="Segoe UI" w:hint="eastAsia"/>
                <w:color w:val="404040"/>
                <w:sz w:val="18"/>
                <w:szCs w:val="18"/>
              </w:rPr>
              <w:t>circLoc</w:t>
            </w:r>
          </w:p>
        </w:tc>
      </w:tr>
      <w:tr w:rsidR="00B40C2D" w14:paraId="7742EC86" w14:textId="77777777">
        <w:tc>
          <w:tcPr>
            <w:tcW w:w="1704" w:type="dxa"/>
            <w:tcBorders>
              <w:top w:val="single" w:sz="4" w:space="0" w:color="000000"/>
              <w:left w:val="nil"/>
              <w:bottom w:val="nil"/>
              <w:right w:val="nil"/>
            </w:tcBorders>
            <w:shd w:val="clear" w:color="auto" w:fill="auto"/>
          </w:tcPr>
          <w:p w14:paraId="1B744CF4"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Chromatin</w:t>
            </w:r>
          </w:p>
        </w:tc>
        <w:tc>
          <w:tcPr>
            <w:tcW w:w="1704" w:type="dxa"/>
            <w:tcBorders>
              <w:top w:val="single" w:sz="4" w:space="0" w:color="000000"/>
              <w:left w:val="nil"/>
              <w:bottom w:val="nil"/>
              <w:right w:val="nil"/>
            </w:tcBorders>
            <w:shd w:val="clear" w:color="auto" w:fill="FFFFFF"/>
          </w:tcPr>
          <w:p w14:paraId="57B8ED01" w14:textId="70EEBDB9"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0.043</w:t>
            </w:r>
          </w:p>
        </w:tc>
        <w:tc>
          <w:tcPr>
            <w:tcW w:w="1704" w:type="dxa"/>
            <w:tcBorders>
              <w:top w:val="single" w:sz="4" w:space="0" w:color="000000"/>
              <w:left w:val="nil"/>
              <w:bottom w:val="nil"/>
              <w:right w:val="nil"/>
            </w:tcBorders>
            <w:shd w:val="clear" w:color="auto" w:fill="auto"/>
            <w:vAlign w:val="center"/>
          </w:tcPr>
          <w:p w14:paraId="6C691A53" w14:textId="61C60003"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0.185</w:t>
            </w:r>
          </w:p>
        </w:tc>
        <w:tc>
          <w:tcPr>
            <w:tcW w:w="1705" w:type="dxa"/>
            <w:tcBorders>
              <w:top w:val="single" w:sz="4" w:space="0" w:color="000000"/>
              <w:left w:val="nil"/>
              <w:bottom w:val="nil"/>
              <w:right w:val="nil"/>
            </w:tcBorders>
            <w:shd w:val="clear" w:color="auto" w:fill="FFFFFF"/>
          </w:tcPr>
          <w:p w14:paraId="1723CFA0" w14:textId="142A3DF2"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0.138</w:t>
            </w:r>
          </w:p>
        </w:tc>
        <w:tc>
          <w:tcPr>
            <w:tcW w:w="1705" w:type="dxa"/>
            <w:tcBorders>
              <w:top w:val="single" w:sz="4" w:space="0" w:color="000000"/>
              <w:left w:val="nil"/>
              <w:bottom w:val="nil"/>
              <w:right w:val="nil"/>
            </w:tcBorders>
            <w:shd w:val="clear" w:color="auto" w:fill="FFFFFF"/>
          </w:tcPr>
          <w:p w14:paraId="53E0EF23"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0.234</w:t>
            </w:r>
          </w:p>
        </w:tc>
      </w:tr>
      <w:tr w:rsidR="00B40C2D" w14:paraId="5CC3B624" w14:textId="77777777">
        <w:tc>
          <w:tcPr>
            <w:tcW w:w="1704" w:type="dxa"/>
            <w:tcBorders>
              <w:top w:val="nil"/>
              <w:left w:val="nil"/>
              <w:bottom w:val="nil"/>
              <w:right w:val="nil"/>
            </w:tcBorders>
            <w:shd w:val="clear" w:color="auto" w:fill="auto"/>
          </w:tcPr>
          <w:p w14:paraId="5D78D693"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Nucleoplasm</w:t>
            </w:r>
          </w:p>
        </w:tc>
        <w:tc>
          <w:tcPr>
            <w:tcW w:w="1704" w:type="dxa"/>
            <w:tcBorders>
              <w:top w:val="nil"/>
              <w:left w:val="nil"/>
              <w:bottom w:val="nil"/>
              <w:right w:val="nil"/>
            </w:tcBorders>
            <w:shd w:val="clear" w:color="auto" w:fill="FFFFFF"/>
          </w:tcPr>
          <w:p w14:paraId="7FCCB604" w14:textId="7BDFCBDB"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0.051</w:t>
            </w:r>
          </w:p>
        </w:tc>
        <w:tc>
          <w:tcPr>
            <w:tcW w:w="1704" w:type="dxa"/>
            <w:tcBorders>
              <w:top w:val="nil"/>
              <w:left w:val="nil"/>
              <w:bottom w:val="nil"/>
              <w:right w:val="nil"/>
            </w:tcBorders>
            <w:shd w:val="clear" w:color="auto" w:fill="auto"/>
            <w:vAlign w:val="center"/>
          </w:tcPr>
          <w:p w14:paraId="6B6FB7E1" w14:textId="03FB55D9"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0.233</w:t>
            </w:r>
          </w:p>
        </w:tc>
        <w:tc>
          <w:tcPr>
            <w:tcW w:w="1705" w:type="dxa"/>
            <w:tcBorders>
              <w:top w:val="nil"/>
              <w:left w:val="nil"/>
              <w:bottom w:val="nil"/>
              <w:right w:val="nil"/>
            </w:tcBorders>
            <w:shd w:val="clear" w:color="auto" w:fill="FFFFFF"/>
          </w:tcPr>
          <w:p w14:paraId="37EE1977" w14:textId="339730BA"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0.128</w:t>
            </w:r>
          </w:p>
        </w:tc>
        <w:tc>
          <w:tcPr>
            <w:tcW w:w="1705" w:type="dxa"/>
            <w:tcBorders>
              <w:top w:val="nil"/>
              <w:left w:val="nil"/>
              <w:bottom w:val="nil"/>
              <w:right w:val="nil"/>
            </w:tcBorders>
            <w:shd w:val="clear" w:color="auto" w:fill="FFFFFF"/>
          </w:tcPr>
          <w:p w14:paraId="4453C545"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0.259</w:t>
            </w:r>
          </w:p>
        </w:tc>
      </w:tr>
      <w:tr w:rsidR="00B40C2D" w14:paraId="6A4B9FBA" w14:textId="77777777">
        <w:tc>
          <w:tcPr>
            <w:tcW w:w="1704" w:type="dxa"/>
            <w:tcBorders>
              <w:top w:val="nil"/>
              <w:left w:val="nil"/>
              <w:bottom w:val="nil"/>
              <w:right w:val="nil"/>
            </w:tcBorders>
            <w:shd w:val="clear" w:color="auto" w:fill="auto"/>
          </w:tcPr>
          <w:p w14:paraId="5B2F6742"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Nucleolus</w:t>
            </w:r>
          </w:p>
        </w:tc>
        <w:tc>
          <w:tcPr>
            <w:tcW w:w="1704" w:type="dxa"/>
            <w:tcBorders>
              <w:top w:val="nil"/>
              <w:left w:val="nil"/>
              <w:bottom w:val="nil"/>
              <w:right w:val="nil"/>
            </w:tcBorders>
            <w:shd w:val="clear" w:color="auto" w:fill="FFFFFF"/>
          </w:tcPr>
          <w:p w14:paraId="44992332" w14:textId="4DA1936A"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0.052</w:t>
            </w:r>
          </w:p>
        </w:tc>
        <w:tc>
          <w:tcPr>
            <w:tcW w:w="1704" w:type="dxa"/>
            <w:tcBorders>
              <w:top w:val="nil"/>
              <w:left w:val="nil"/>
              <w:bottom w:val="nil"/>
              <w:right w:val="nil"/>
            </w:tcBorders>
            <w:shd w:val="clear" w:color="auto" w:fill="auto"/>
            <w:vAlign w:val="center"/>
          </w:tcPr>
          <w:p w14:paraId="41E8154C" w14:textId="5C1928BE"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0.207</w:t>
            </w:r>
          </w:p>
        </w:tc>
        <w:tc>
          <w:tcPr>
            <w:tcW w:w="1705" w:type="dxa"/>
            <w:tcBorders>
              <w:top w:val="nil"/>
              <w:left w:val="nil"/>
              <w:bottom w:val="nil"/>
              <w:right w:val="nil"/>
            </w:tcBorders>
            <w:shd w:val="clear" w:color="auto" w:fill="FFFFFF"/>
          </w:tcPr>
          <w:p w14:paraId="7F85E02B" w14:textId="4A3511CE"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0.244</w:t>
            </w:r>
          </w:p>
        </w:tc>
        <w:tc>
          <w:tcPr>
            <w:tcW w:w="1705" w:type="dxa"/>
            <w:tcBorders>
              <w:top w:val="nil"/>
              <w:left w:val="nil"/>
              <w:bottom w:val="nil"/>
              <w:right w:val="nil"/>
            </w:tcBorders>
            <w:shd w:val="clear" w:color="auto" w:fill="FFFFFF"/>
          </w:tcPr>
          <w:p w14:paraId="4DF5D079"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0.254</w:t>
            </w:r>
          </w:p>
        </w:tc>
      </w:tr>
      <w:tr w:rsidR="00B40C2D" w14:paraId="74E7D258" w14:textId="77777777">
        <w:tc>
          <w:tcPr>
            <w:tcW w:w="1704" w:type="dxa"/>
            <w:tcBorders>
              <w:top w:val="nil"/>
              <w:left w:val="nil"/>
              <w:bottom w:val="nil"/>
              <w:right w:val="nil"/>
            </w:tcBorders>
            <w:shd w:val="clear" w:color="auto" w:fill="auto"/>
          </w:tcPr>
          <w:p w14:paraId="723B806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Membrane</w:t>
            </w:r>
          </w:p>
        </w:tc>
        <w:tc>
          <w:tcPr>
            <w:tcW w:w="1704" w:type="dxa"/>
            <w:tcBorders>
              <w:top w:val="nil"/>
              <w:left w:val="nil"/>
              <w:bottom w:val="nil"/>
              <w:right w:val="nil"/>
            </w:tcBorders>
            <w:shd w:val="clear" w:color="auto" w:fill="FFFFFF"/>
          </w:tcPr>
          <w:p w14:paraId="6FB8F2F6" w14:textId="77A587E6"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0.189</w:t>
            </w:r>
          </w:p>
        </w:tc>
        <w:tc>
          <w:tcPr>
            <w:tcW w:w="1704" w:type="dxa"/>
            <w:tcBorders>
              <w:top w:val="nil"/>
              <w:left w:val="nil"/>
              <w:bottom w:val="nil"/>
              <w:right w:val="nil"/>
            </w:tcBorders>
            <w:shd w:val="clear" w:color="auto" w:fill="auto"/>
            <w:vAlign w:val="center"/>
          </w:tcPr>
          <w:p w14:paraId="254DAC99" w14:textId="4C3CE2BB"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0.325</w:t>
            </w:r>
          </w:p>
        </w:tc>
        <w:tc>
          <w:tcPr>
            <w:tcW w:w="1705" w:type="dxa"/>
            <w:tcBorders>
              <w:top w:val="nil"/>
              <w:left w:val="nil"/>
              <w:bottom w:val="nil"/>
              <w:right w:val="nil"/>
            </w:tcBorders>
            <w:shd w:val="clear" w:color="auto" w:fill="FFFFFF"/>
          </w:tcPr>
          <w:p w14:paraId="2FE32C58" w14:textId="70F8FB8D"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0.270</w:t>
            </w:r>
          </w:p>
        </w:tc>
        <w:tc>
          <w:tcPr>
            <w:tcW w:w="1705" w:type="dxa"/>
            <w:tcBorders>
              <w:top w:val="nil"/>
              <w:left w:val="nil"/>
              <w:bottom w:val="nil"/>
              <w:right w:val="nil"/>
            </w:tcBorders>
            <w:shd w:val="clear" w:color="auto" w:fill="FFFFFF"/>
          </w:tcPr>
          <w:p w14:paraId="3928FFBD"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0.386</w:t>
            </w:r>
          </w:p>
        </w:tc>
      </w:tr>
      <w:tr w:rsidR="00B40C2D" w14:paraId="73358BB5" w14:textId="77777777">
        <w:tc>
          <w:tcPr>
            <w:tcW w:w="1704" w:type="dxa"/>
            <w:tcBorders>
              <w:top w:val="nil"/>
              <w:left w:val="nil"/>
              <w:bottom w:val="nil"/>
              <w:right w:val="nil"/>
            </w:tcBorders>
            <w:shd w:val="clear" w:color="auto" w:fill="auto"/>
          </w:tcPr>
          <w:p w14:paraId="7C7D6E41"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Nucleus</w:t>
            </w:r>
          </w:p>
        </w:tc>
        <w:tc>
          <w:tcPr>
            <w:tcW w:w="1704" w:type="dxa"/>
            <w:tcBorders>
              <w:top w:val="nil"/>
              <w:left w:val="nil"/>
              <w:bottom w:val="nil"/>
              <w:right w:val="nil"/>
            </w:tcBorders>
            <w:shd w:val="clear" w:color="auto" w:fill="FFFFFF"/>
          </w:tcPr>
          <w:p w14:paraId="72FBB037" w14:textId="22426A46"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0.423</w:t>
            </w:r>
          </w:p>
        </w:tc>
        <w:tc>
          <w:tcPr>
            <w:tcW w:w="1704" w:type="dxa"/>
            <w:tcBorders>
              <w:top w:val="nil"/>
              <w:left w:val="nil"/>
              <w:bottom w:val="nil"/>
              <w:right w:val="nil"/>
            </w:tcBorders>
            <w:shd w:val="clear" w:color="auto" w:fill="auto"/>
            <w:vAlign w:val="center"/>
          </w:tcPr>
          <w:p w14:paraId="3CA430E1" w14:textId="56D2F460"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0.447</w:t>
            </w:r>
          </w:p>
        </w:tc>
        <w:tc>
          <w:tcPr>
            <w:tcW w:w="1705" w:type="dxa"/>
            <w:tcBorders>
              <w:top w:val="nil"/>
              <w:left w:val="nil"/>
              <w:bottom w:val="nil"/>
              <w:right w:val="nil"/>
            </w:tcBorders>
            <w:shd w:val="clear" w:color="auto" w:fill="FFFFFF"/>
          </w:tcPr>
          <w:p w14:paraId="01F40E2B" w14:textId="1AD749C2"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0.666</w:t>
            </w:r>
          </w:p>
        </w:tc>
        <w:tc>
          <w:tcPr>
            <w:tcW w:w="1705" w:type="dxa"/>
            <w:tcBorders>
              <w:top w:val="nil"/>
              <w:left w:val="nil"/>
              <w:bottom w:val="nil"/>
              <w:right w:val="nil"/>
            </w:tcBorders>
            <w:shd w:val="clear" w:color="auto" w:fill="FFFFFF"/>
          </w:tcPr>
          <w:p w14:paraId="0AD046B7"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0.660</w:t>
            </w:r>
          </w:p>
        </w:tc>
      </w:tr>
      <w:tr w:rsidR="00B40C2D" w14:paraId="0CF96B10" w14:textId="77777777">
        <w:tc>
          <w:tcPr>
            <w:tcW w:w="1704" w:type="dxa"/>
            <w:tcBorders>
              <w:top w:val="nil"/>
              <w:left w:val="nil"/>
              <w:bottom w:val="nil"/>
              <w:right w:val="nil"/>
            </w:tcBorders>
            <w:shd w:val="clear" w:color="auto" w:fill="auto"/>
          </w:tcPr>
          <w:p w14:paraId="683D9C8C"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Cytosol</w:t>
            </w:r>
          </w:p>
        </w:tc>
        <w:tc>
          <w:tcPr>
            <w:tcW w:w="1704" w:type="dxa"/>
            <w:tcBorders>
              <w:top w:val="nil"/>
              <w:left w:val="nil"/>
              <w:bottom w:val="nil"/>
              <w:right w:val="nil"/>
            </w:tcBorders>
            <w:shd w:val="clear" w:color="auto" w:fill="FFFFFF"/>
          </w:tcPr>
          <w:p w14:paraId="1EAB96E1" w14:textId="595A9989"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0.301</w:t>
            </w:r>
          </w:p>
        </w:tc>
        <w:tc>
          <w:tcPr>
            <w:tcW w:w="1704" w:type="dxa"/>
            <w:tcBorders>
              <w:top w:val="nil"/>
              <w:left w:val="nil"/>
              <w:bottom w:val="nil"/>
              <w:right w:val="nil"/>
            </w:tcBorders>
            <w:shd w:val="clear" w:color="auto" w:fill="auto"/>
            <w:vAlign w:val="center"/>
          </w:tcPr>
          <w:p w14:paraId="37C7FE6B" w14:textId="75F5FBE9"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0.442</w:t>
            </w:r>
          </w:p>
        </w:tc>
        <w:tc>
          <w:tcPr>
            <w:tcW w:w="1705" w:type="dxa"/>
            <w:tcBorders>
              <w:top w:val="nil"/>
              <w:left w:val="nil"/>
              <w:bottom w:val="nil"/>
              <w:right w:val="nil"/>
            </w:tcBorders>
            <w:shd w:val="clear" w:color="auto" w:fill="FFFFFF"/>
          </w:tcPr>
          <w:p w14:paraId="0E78300E"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0.379</w:t>
            </w:r>
          </w:p>
        </w:tc>
        <w:tc>
          <w:tcPr>
            <w:tcW w:w="1705" w:type="dxa"/>
            <w:tcBorders>
              <w:top w:val="nil"/>
              <w:left w:val="nil"/>
              <w:bottom w:val="nil"/>
              <w:right w:val="nil"/>
            </w:tcBorders>
            <w:shd w:val="clear" w:color="auto" w:fill="FFFFFF"/>
          </w:tcPr>
          <w:p w14:paraId="33D8531E"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0.582</w:t>
            </w:r>
          </w:p>
        </w:tc>
      </w:tr>
      <w:tr w:rsidR="00B40C2D" w14:paraId="6ECBE712" w14:textId="77777777">
        <w:tc>
          <w:tcPr>
            <w:tcW w:w="1704" w:type="dxa"/>
            <w:tcBorders>
              <w:top w:val="nil"/>
              <w:left w:val="nil"/>
              <w:bottom w:val="single" w:sz="12" w:space="0" w:color="000000"/>
              <w:right w:val="nil"/>
            </w:tcBorders>
            <w:shd w:val="clear" w:color="auto" w:fill="auto"/>
          </w:tcPr>
          <w:p w14:paraId="578CEB06"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Cytoplasm</w:t>
            </w:r>
          </w:p>
        </w:tc>
        <w:tc>
          <w:tcPr>
            <w:tcW w:w="1704" w:type="dxa"/>
            <w:tcBorders>
              <w:top w:val="nil"/>
              <w:left w:val="nil"/>
              <w:bottom w:val="single" w:sz="12" w:space="0" w:color="000000"/>
              <w:right w:val="nil"/>
            </w:tcBorders>
            <w:shd w:val="clear" w:color="auto" w:fill="FFFFFF"/>
          </w:tcPr>
          <w:p w14:paraId="54213772" w14:textId="48D7E360" w:rsidR="00B40C2D" w:rsidRPr="006808A1" w:rsidRDefault="006808A1">
            <w:pPr>
              <w:widowControl/>
              <w:jc w:val="left"/>
              <w:rPr>
                <w:rFonts w:asciiTheme="majorEastAsia" w:eastAsiaTheme="majorEastAsia" w:hAnsiTheme="majorEastAsia" w:cs="Segoe UI" w:hint="eastAsia"/>
                <w:color w:val="404040"/>
                <w:sz w:val="18"/>
                <w:szCs w:val="18"/>
              </w:rPr>
            </w:pPr>
            <w:r w:rsidRPr="006808A1">
              <w:rPr>
                <w:rFonts w:asciiTheme="majorEastAsia" w:eastAsiaTheme="majorEastAsia" w:hAnsiTheme="majorEastAsia" w:cs="Segoe UI" w:hint="eastAsia"/>
                <w:color w:val="404040"/>
                <w:sz w:val="18"/>
                <w:szCs w:val="18"/>
              </w:rPr>
              <w:t>0.469</w:t>
            </w:r>
          </w:p>
        </w:tc>
        <w:tc>
          <w:tcPr>
            <w:tcW w:w="1704" w:type="dxa"/>
            <w:tcBorders>
              <w:top w:val="nil"/>
              <w:left w:val="nil"/>
              <w:bottom w:val="single" w:sz="12" w:space="0" w:color="000000"/>
              <w:right w:val="nil"/>
            </w:tcBorders>
            <w:shd w:val="clear" w:color="auto" w:fill="auto"/>
            <w:vAlign w:val="center"/>
          </w:tcPr>
          <w:p w14:paraId="1958EA55" w14:textId="78CE0F34"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hint="eastAsia"/>
                <w:color w:val="404040"/>
                <w:sz w:val="18"/>
                <w:szCs w:val="18"/>
              </w:rPr>
              <w:t>0.597</w:t>
            </w:r>
          </w:p>
        </w:tc>
        <w:tc>
          <w:tcPr>
            <w:tcW w:w="1705" w:type="dxa"/>
            <w:tcBorders>
              <w:top w:val="nil"/>
              <w:left w:val="nil"/>
              <w:bottom w:val="single" w:sz="12" w:space="0" w:color="000000"/>
              <w:right w:val="nil"/>
            </w:tcBorders>
            <w:shd w:val="clear" w:color="auto" w:fill="auto"/>
            <w:vAlign w:val="center"/>
          </w:tcPr>
          <w:p w14:paraId="03227129" w14:textId="77777777" w:rsidR="00B40C2D" w:rsidRDefault="00000000">
            <w:pPr>
              <w:widowControl/>
              <w:jc w:val="left"/>
              <w:rPr>
                <w:rFonts w:asciiTheme="majorEastAsia" w:eastAsiaTheme="majorEastAsia" w:hAnsiTheme="majorEastAsia" w:cs="Segoe UI" w:hint="eastAsia"/>
                <w:color w:val="404040"/>
                <w:sz w:val="18"/>
                <w:szCs w:val="18"/>
              </w:rPr>
            </w:pPr>
            <w:r>
              <w:rPr>
                <w:rFonts w:asciiTheme="majorEastAsia" w:eastAsiaTheme="majorEastAsia" w:hAnsiTheme="majorEastAsia" w:cs="Segoe UI"/>
                <w:color w:val="404040"/>
                <w:sz w:val="18"/>
                <w:szCs w:val="18"/>
              </w:rPr>
              <w:t>0.722</w:t>
            </w:r>
          </w:p>
        </w:tc>
        <w:tc>
          <w:tcPr>
            <w:tcW w:w="1705" w:type="dxa"/>
            <w:tcBorders>
              <w:top w:val="nil"/>
              <w:left w:val="nil"/>
              <w:bottom w:val="single" w:sz="12" w:space="0" w:color="000000"/>
              <w:right w:val="nil"/>
            </w:tcBorders>
            <w:shd w:val="clear" w:color="auto" w:fill="FFFFFF"/>
          </w:tcPr>
          <w:p w14:paraId="5B5BE0CC" w14:textId="77777777" w:rsidR="00B40C2D" w:rsidRPr="006808A1" w:rsidRDefault="00000000">
            <w:pPr>
              <w:widowControl/>
              <w:jc w:val="left"/>
              <w:rPr>
                <w:rFonts w:asciiTheme="majorEastAsia" w:eastAsiaTheme="majorEastAsia" w:hAnsiTheme="majorEastAsia" w:cs="Segoe UI" w:hint="eastAsia"/>
                <w:b/>
                <w:bCs/>
                <w:color w:val="404040"/>
                <w:sz w:val="18"/>
                <w:szCs w:val="18"/>
              </w:rPr>
            </w:pPr>
            <w:r w:rsidRPr="006808A1">
              <w:rPr>
                <w:rFonts w:asciiTheme="majorEastAsia" w:eastAsiaTheme="majorEastAsia" w:hAnsiTheme="majorEastAsia" w:cs="Segoe UI"/>
                <w:b/>
                <w:bCs/>
                <w:color w:val="404040"/>
                <w:sz w:val="18"/>
                <w:szCs w:val="18"/>
              </w:rPr>
              <w:t>0.759</w:t>
            </w:r>
          </w:p>
        </w:tc>
      </w:tr>
    </w:tbl>
    <w:p w14:paraId="1F6CA323" w14:textId="77777777" w:rsidR="00B40C2D" w:rsidRDefault="00B40C2D">
      <w:pPr>
        <w:widowControl/>
        <w:jc w:val="left"/>
        <w:rPr>
          <w:rFonts w:asciiTheme="majorEastAsia" w:eastAsiaTheme="majorEastAsia" w:hAnsiTheme="majorEastAsia" w:cs="Segoe UI" w:hint="eastAsia"/>
          <w:color w:val="404040"/>
          <w:sz w:val="24"/>
        </w:rPr>
      </w:pPr>
    </w:p>
    <w:p w14:paraId="25BB4A76" w14:textId="6218B2A0" w:rsidR="00B40C2D" w:rsidRDefault="00A075B2" w:rsidP="00A075B2">
      <w:pPr>
        <w:pStyle w:val="2"/>
        <w:rPr>
          <w:rFonts w:asciiTheme="majorEastAsia" w:hAnsiTheme="majorEastAsia" w:cs="Segoe UI" w:hint="eastAsia"/>
          <w:color w:val="404040"/>
          <w:sz w:val="24"/>
        </w:rPr>
      </w:pPr>
      <w:r w:rsidRPr="00A075B2">
        <w:rPr>
          <w:rFonts w:asciiTheme="majorEastAsia" w:hAnsiTheme="majorEastAsia" w:cs="Segoe UI"/>
          <w:color w:val="404040"/>
          <w:sz w:val="24"/>
        </w:rPr>
        <w:lastRenderedPageBreak/>
        <w:t>本研究局限性分析</w:t>
      </w:r>
    </w:p>
    <w:p w14:paraId="5704229C" w14:textId="320EF060" w:rsidR="00B40C2D" w:rsidRDefault="00A075B2" w:rsidP="00A075B2">
      <w:pPr>
        <w:widowControl/>
        <w:ind w:firstLineChars="200" w:firstLine="480"/>
        <w:jc w:val="left"/>
        <w:rPr>
          <w:rFonts w:asciiTheme="majorEastAsia" w:eastAsiaTheme="majorEastAsia" w:hAnsiTheme="majorEastAsia" w:cs="Segoe UI" w:hint="eastAsia"/>
          <w:color w:val="404040"/>
          <w:sz w:val="24"/>
        </w:rPr>
      </w:pPr>
      <w:r w:rsidRPr="00A075B2">
        <w:rPr>
          <w:rFonts w:asciiTheme="majorEastAsia" w:eastAsiaTheme="majorEastAsia" w:hAnsiTheme="majorEastAsia" w:cs="Segoe UI"/>
          <w:color w:val="404040"/>
          <w:sz w:val="24"/>
        </w:rPr>
        <w:t>尽管</w:t>
      </w:r>
      <w:r w:rsidRPr="00A075B2">
        <w:rPr>
          <w:rFonts w:asciiTheme="majorEastAsia" w:eastAsiaTheme="majorEastAsia" w:hAnsiTheme="majorEastAsia" w:cs="Segoe UI" w:hint="eastAsia"/>
          <w:color w:val="404040"/>
          <w:sz w:val="24"/>
        </w:rPr>
        <w:t>CircLoc</w:t>
      </w:r>
      <w:r w:rsidRPr="00A075B2">
        <w:rPr>
          <w:rFonts w:asciiTheme="majorEastAsia" w:eastAsiaTheme="majorEastAsia" w:hAnsiTheme="majorEastAsia" w:cs="Segoe UI"/>
          <w:color w:val="404040"/>
          <w:sz w:val="24"/>
        </w:rPr>
        <w:t>模型在</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亚细胞定位预测中表现出</w:t>
      </w:r>
      <w:r w:rsidRPr="00A075B2">
        <w:rPr>
          <w:rFonts w:asciiTheme="majorEastAsia" w:eastAsiaTheme="majorEastAsia" w:hAnsiTheme="majorEastAsia" w:cs="Segoe UI" w:hint="eastAsia"/>
          <w:color w:val="404040"/>
          <w:sz w:val="24"/>
        </w:rPr>
        <w:t>良好的</w:t>
      </w:r>
      <w:r w:rsidRPr="00A075B2">
        <w:rPr>
          <w:rFonts w:asciiTheme="majorEastAsia" w:eastAsiaTheme="majorEastAsia" w:hAnsiTheme="majorEastAsia" w:cs="Segoe UI"/>
          <w:color w:val="404040"/>
          <w:sz w:val="24"/>
        </w:rPr>
        <w:t>性能，仍存在若干局限性：物种适用性受限：当前模型仅针对人类</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进行测试，尚未验证其跨物种预测能力。数据完整性依赖：虽然整合多源</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特征可增强表征能力，但部分</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存在特征缺失问题，导致模型对此类样本的预测效能下降。数据集不平衡问题：所用人类</w:t>
      </w:r>
      <w:r w:rsidRPr="00A075B2">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数据</w:t>
      </w:r>
      <w:proofErr w:type="gramStart"/>
      <w:r w:rsidRPr="00A075B2">
        <w:rPr>
          <w:rFonts w:asciiTheme="majorEastAsia" w:eastAsiaTheme="majorEastAsia" w:hAnsiTheme="majorEastAsia" w:cs="Segoe UI"/>
          <w:color w:val="404040"/>
          <w:sz w:val="24"/>
        </w:rPr>
        <w:t>集存在</w:t>
      </w:r>
      <w:proofErr w:type="gramEnd"/>
      <w:r w:rsidRPr="00A075B2">
        <w:rPr>
          <w:rFonts w:asciiTheme="majorEastAsia" w:eastAsiaTheme="majorEastAsia" w:hAnsiTheme="majorEastAsia" w:cs="Segoe UI"/>
          <w:color w:val="404040"/>
          <w:sz w:val="24"/>
        </w:rPr>
        <w:t>显著类别不均衡现象，未采用过采样或欠采样方法进行校正，致使某些定位类别的预测性能不平衡。未来研究将致力于突破上述限制，开发适用性更广的高效预测模型。</w:t>
      </w:r>
    </w:p>
    <w:p w14:paraId="54B09748" w14:textId="76FC760A" w:rsidR="00B40C2D" w:rsidRDefault="00A075B2" w:rsidP="00A075B2">
      <w:pPr>
        <w:pStyle w:val="2"/>
        <w:rPr>
          <w:rFonts w:asciiTheme="majorEastAsia" w:hAnsiTheme="majorEastAsia" w:cs="Segoe UI" w:hint="eastAsia"/>
          <w:color w:val="404040"/>
          <w:sz w:val="24"/>
        </w:rPr>
      </w:pPr>
      <w:r w:rsidRPr="00A075B2">
        <w:rPr>
          <w:rFonts w:asciiTheme="majorEastAsia" w:hAnsiTheme="majorEastAsia" w:cs="Segoe UI"/>
          <w:color w:val="404040"/>
          <w:sz w:val="24"/>
        </w:rPr>
        <w:t>研究</w:t>
      </w:r>
      <w:r>
        <w:rPr>
          <w:rFonts w:asciiTheme="majorEastAsia" w:hAnsiTheme="majorEastAsia" w:cs="Segoe UI" w:hint="eastAsia"/>
          <w:color w:val="404040"/>
          <w:sz w:val="24"/>
        </w:rPr>
        <w:t>结论</w:t>
      </w:r>
    </w:p>
    <w:p w14:paraId="253889D9" w14:textId="6B4FB7DC" w:rsidR="00A075B2" w:rsidRDefault="00A075B2" w:rsidP="00A075B2">
      <w:pPr>
        <w:widowControl/>
        <w:ind w:firstLineChars="200" w:firstLine="480"/>
        <w:jc w:val="left"/>
        <w:rPr>
          <w:rFonts w:asciiTheme="majorEastAsia" w:eastAsiaTheme="majorEastAsia" w:hAnsiTheme="majorEastAsia" w:cs="Segoe UI" w:hint="eastAsia"/>
          <w:color w:val="404040"/>
          <w:sz w:val="24"/>
        </w:rPr>
      </w:pPr>
      <w:r w:rsidRPr="00A075B2">
        <w:rPr>
          <w:rFonts w:asciiTheme="majorEastAsia" w:eastAsiaTheme="majorEastAsia" w:hAnsiTheme="majorEastAsia" w:cs="Segoe UI"/>
          <w:color w:val="404040"/>
          <w:sz w:val="24"/>
        </w:rPr>
        <w:t>本研究开发了一种新型多标签分类器</w:t>
      </w:r>
      <w:r w:rsidRPr="00A075B2">
        <w:rPr>
          <w:rFonts w:asciiTheme="majorEastAsia" w:eastAsiaTheme="majorEastAsia" w:hAnsiTheme="majorEastAsia" w:cs="Segoe UI" w:hint="eastAsia"/>
          <w:color w:val="404040"/>
          <w:sz w:val="24"/>
        </w:rPr>
        <w:t>CircLoc</w:t>
      </w:r>
      <w:r w:rsidRPr="00A075B2">
        <w:rPr>
          <w:rFonts w:asciiTheme="majorEastAsia" w:eastAsiaTheme="majorEastAsia" w:hAnsiTheme="majorEastAsia" w:cs="Segoe UI"/>
          <w:color w:val="404040"/>
          <w:sz w:val="24"/>
        </w:rPr>
        <w:t>，通过融合多维度</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特征</w:t>
      </w:r>
      <w:r>
        <w:rPr>
          <w:rFonts w:asciiTheme="majorEastAsia" w:eastAsiaTheme="majorEastAsia" w:hAnsiTheme="majorEastAsia" w:cs="Segoe UI" w:hint="eastAsia"/>
          <w:color w:val="404040"/>
          <w:sz w:val="24"/>
        </w:rPr>
        <w:t>和序列特征</w:t>
      </w:r>
      <w:r w:rsidRPr="00A075B2">
        <w:rPr>
          <w:rFonts w:asciiTheme="majorEastAsia" w:eastAsiaTheme="majorEastAsia" w:hAnsiTheme="majorEastAsia" w:cs="Segoe UI"/>
          <w:color w:val="404040"/>
          <w:sz w:val="24"/>
        </w:rPr>
        <w:t>并设计专用特征提取方案，实现了</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亚细胞定位的预测。交叉验证表明，该模型</w:t>
      </w:r>
      <w:r>
        <w:rPr>
          <w:rFonts w:asciiTheme="majorEastAsia" w:eastAsiaTheme="majorEastAsia" w:hAnsiTheme="majorEastAsia" w:cs="Segoe UI" w:hint="eastAsia"/>
          <w:color w:val="404040"/>
          <w:sz w:val="24"/>
        </w:rPr>
        <w:t>拥有良好的表现</w:t>
      </w:r>
      <w:r w:rsidRPr="00A075B2">
        <w:rPr>
          <w:rFonts w:asciiTheme="majorEastAsia" w:eastAsiaTheme="majorEastAsia" w:hAnsiTheme="majorEastAsia" w:cs="Segoe UI"/>
          <w:color w:val="404040"/>
          <w:sz w:val="24"/>
        </w:rPr>
        <w:t>，且具有以下优势：多特征融合策略显著提升预测效能</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图注意力自编码器（GATE）与自注意力</w:t>
      </w:r>
      <w:proofErr w:type="gramStart"/>
      <w:r w:rsidRPr="00A075B2">
        <w:rPr>
          <w:rFonts w:asciiTheme="majorEastAsia" w:eastAsiaTheme="majorEastAsia" w:hAnsiTheme="majorEastAsia" w:cs="Segoe UI"/>
          <w:color w:val="404040"/>
          <w:sz w:val="24"/>
        </w:rPr>
        <w:t>层发挥</w:t>
      </w:r>
      <w:proofErr w:type="gramEnd"/>
      <w:r w:rsidRPr="00A075B2">
        <w:rPr>
          <w:rFonts w:asciiTheme="majorEastAsia" w:eastAsiaTheme="majorEastAsia" w:hAnsiTheme="majorEastAsia" w:cs="Segoe UI"/>
          <w:color w:val="404040"/>
          <w:sz w:val="24"/>
        </w:rPr>
        <w:t>关键作用</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对疾病/药物/mRNA关联性较弱的miRNA仍能保持准确预测</w:t>
      </w:r>
      <w:r>
        <w:rPr>
          <w:rFonts w:asciiTheme="majorEastAsia" w:eastAsiaTheme="majorEastAsia" w:hAnsiTheme="majorEastAsia" w:cs="Segoe UI" w:hint="eastAsia"/>
          <w:color w:val="404040"/>
          <w:sz w:val="24"/>
        </w:rPr>
        <w:t>、</w:t>
      </w:r>
      <w:r w:rsidRPr="00A075B2">
        <w:rPr>
          <w:rFonts w:asciiTheme="majorEastAsia" w:eastAsiaTheme="majorEastAsia" w:hAnsiTheme="majorEastAsia" w:cs="Segoe UI"/>
          <w:color w:val="404040"/>
          <w:sz w:val="24"/>
        </w:rPr>
        <w:t>该模型有望成为</w:t>
      </w:r>
      <w:r>
        <w:rPr>
          <w:rFonts w:asciiTheme="majorEastAsia" w:eastAsiaTheme="majorEastAsia" w:hAnsiTheme="majorEastAsia" w:cs="Segoe UI" w:hint="eastAsia"/>
          <w:color w:val="404040"/>
          <w:sz w:val="24"/>
        </w:rPr>
        <w:t>circRNA</w:t>
      </w:r>
      <w:r w:rsidRPr="00A075B2">
        <w:rPr>
          <w:rFonts w:asciiTheme="majorEastAsia" w:eastAsiaTheme="majorEastAsia" w:hAnsiTheme="majorEastAsia" w:cs="Segoe UI"/>
          <w:color w:val="404040"/>
          <w:sz w:val="24"/>
        </w:rPr>
        <w:t>亚细胞定位研究的重要工具，数据集与代码已</w:t>
      </w:r>
      <w:r>
        <w:rPr>
          <w:rFonts w:asciiTheme="majorEastAsia" w:eastAsiaTheme="majorEastAsia" w:hAnsiTheme="majorEastAsia" w:cs="Segoe UI" w:hint="eastAsia"/>
          <w:color w:val="404040"/>
          <w:sz w:val="24"/>
        </w:rPr>
        <w:t>开源至xxxxxxxxxx</w:t>
      </w:r>
    </w:p>
    <w:p w14:paraId="5F5D6360" w14:textId="6C4D614A" w:rsidR="00B40C2D" w:rsidRDefault="00A075B2" w:rsidP="00A075B2">
      <w:pPr>
        <w:pStyle w:val="1"/>
        <w:rPr>
          <w:rFonts w:asciiTheme="majorEastAsia" w:eastAsiaTheme="majorEastAsia" w:hAnsiTheme="majorEastAsia" w:cs="Segoe UI" w:hint="eastAsia"/>
          <w:color w:val="404040"/>
          <w:sz w:val="24"/>
        </w:rPr>
      </w:pPr>
      <w:r>
        <w:rPr>
          <w:rFonts w:asciiTheme="majorEastAsia" w:eastAsiaTheme="majorEastAsia" w:hAnsiTheme="majorEastAsia" w:cs="Segoe UI" w:hint="eastAsia"/>
          <w:color w:val="404040"/>
          <w:sz w:val="24"/>
        </w:rPr>
        <w:t>引用</w:t>
      </w:r>
    </w:p>
    <w:p w14:paraId="1CBA31C5"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0" w:name="_Ref197429993"/>
      <w:r>
        <w:rPr>
          <w:rFonts w:asciiTheme="majorEastAsia" w:eastAsiaTheme="majorEastAsia" w:hAnsiTheme="majorEastAsia" w:cs="Segoe UI"/>
          <w:color w:val="404040"/>
          <w:sz w:val="24"/>
        </w:rPr>
        <w:t>Wang, J., Zhao, X., Wang, Y. </w:t>
      </w:r>
      <w:r>
        <w:rPr>
          <w:rFonts w:asciiTheme="majorEastAsia" w:eastAsiaTheme="majorEastAsia" w:hAnsiTheme="majorEastAsia" w:cs="Segoe UI"/>
          <w:i/>
          <w:iCs/>
          <w:color w:val="404040"/>
          <w:sz w:val="24"/>
        </w:rPr>
        <w:t>et al.</w:t>
      </w:r>
      <w:r>
        <w:rPr>
          <w:rFonts w:asciiTheme="majorEastAsia" w:eastAsiaTheme="majorEastAsia" w:hAnsiTheme="majorEastAsia" w:cs="Segoe UI"/>
          <w:color w:val="404040"/>
          <w:sz w:val="24"/>
        </w:rPr>
        <w:t> circRNA-002178 act as a ceRNA to promote PDL1/PD1 expression in lung adenocarcinoma. </w:t>
      </w:r>
      <w:r>
        <w:rPr>
          <w:rFonts w:asciiTheme="majorEastAsia" w:eastAsiaTheme="majorEastAsia" w:hAnsiTheme="majorEastAsia" w:cs="Segoe UI"/>
          <w:i/>
          <w:iCs/>
          <w:color w:val="404040"/>
          <w:sz w:val="24"/>
        </w:rPr>
        <w:t>Cell Death Dis</w:t>
      </w:r>
      <w:r>
        <w:rPr>
          <w:rFonts w:asciiTheme="majorEastAsia" w:eastAsiaTheme="majorEastAsia" w:hAnsiTheme="majorEastAsia" w:cs="Segoe UI"/>
          <w:color w:val="404040"/>
          <w:sz w:val="24"/>
        </w:rPr>
        <w:t> </w:t>
      </w:r>
      <w:r>
        <w:rPr>
          <w:rFonts w:asciiTheme="majorEastAsia" w:eastAsiaTheme="majorEastAsia" w:hAnsiTheme="majorEastAsia" w:cs="Segoe UI"/>
          <w:b/>
          <w:bCs/>
          <w:color w:val="404040"/>
          <w:sz w:val="24"/>
        </w:rPr>
        <w:t>11</w:t>
      </w:r>
      <w:r>
        <w:rPr>
          <w:rFonts w:asciiTheme="majorEastAsia" w:eastAsiaTheme="majorEastAsia" w:hAnsiTheme="majorEastAsia" w:cs="Segoe UI"/>
          <w:color w:val="404040"/>
          <w:sz w:val="24"/>
        </w:rPr>
        <w:t xml:space="preserve">, 32 (2020). </w:t>
      </w:r>
      <w:hyperlink r:id="rId14" w:history="1">
        <w:r w:rsidR="00B40C2D">
          <w:rPr>
            <w:rStyle w:val="aa"/>
            <w:rFonts w:asciiTheme="majorEastAsia" w:eastAsiaTheme="majorEastAsia" w:hAnsiTheme="majorEastAsia" w:cs="Segoe UI"/>
            <w:sz w:val="24"/>
          </w:rPr>
          <w:t>https://doi.org/10.1038/s41419-020-2230-9</w:t>
        </w:r>
      </w:hyperlink>
      <w:bookmarkEnd w:id="20"/>
    </w:p>
    <w:p w14:paraId="2E140884"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1" w:name="_Ref197430181"/>
      <w:r>
        <w:rPr>
          <w:rFonts w:asciiTheme="majorEastAsia" w:eastAsiaTheme="majorEastAsia" w:hAnsiTheme="majorEastAsia" w:cs="Segoe UI"/>
          <w:color w:val="404040"/>
          <w:sz w:val="24"/>
        </w:rPr>
        <w:t>Julia C. Oddo, Tanvi Saxena, Ona L. McConnell, J. Andrew Berglund, Eric T. Wang, Conservation of context-dependent splicing activity in distant Muscleblind homologs, </w:t>
      </w:r>
      <w:r>
        <w:rPr>
          <w:rFonts w:asciiTheme="majorEastAsia" w:eastAsiaTheme="majorEastAsia" w:hAnsiTheme="majorEastAsia" w:cs="Segoe UI"/>
          <w:i/>
          <w:iCs/>
          <w:color w:val="404040"/>
          <w:sz w:val="24"/>
        </w:rPr>
        <w:t>Nucleic Acids Research</w:t>
      </w:r>
      <w:r>
        <w:rPr>
          <w:rFonts w:asciiTheme="majorEastAsia" w:eastAsiaTheme="majorEastAsia" w:hAnsiTheme="majorEastAsia" w:cs="Segoe UI"/>
          <w:color w:val="404040"/>
          <w:sz w:val="24"/>
        </w:rPr>
        <w:t>, Volume 44, Issue 17, 30 September 2016, Pages 8352–8362, </w:t>
      </w:r>
      <w:hyperlink r:id="rId15" w:history="1">
        <w:r w:rsidR="00B40C2D">
          <w:rPr>
            <w:rStyle w:val="aa"/>
            <w:rFonts w:asciiTheme="majorEastAsia" w:eastAsiaTheme="majorEastAsia" w:hAnsiTheme="majorEastAsia" w:cs="Segoe UI"/>
            <w:sz w:val="24"/>
          </w:rPr>
          <w:t>https://doi.org/10.1093/nar/gkw735</w:t>
        </w:r>
      </w:hyperlink>
      <w:bookmarkEnd w:id="21"/>
    </w:p>
    <w:p w14:paraId="5197816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2" w:name="_Ref197433498"/>
      <w:r>
        <w:rPr>
          <w:rFonts w:asciiTheme="majorEastAsia" w:eastAsiaTheme="majorEastAsia" w:hAnsiTheme="majorEastAsia" w:cs="Segoe UI"/>
          <w:color w:val="404040"/>
          <w:sz w:val="24"/>
        </w:rPr>
        <w:t>Iyer, M., Niknafs, Y., Malik, R. </w:t>
      </w:r>
      <w:r>
        <w:rPr>
          <w:rFonts w:asciiTheme="majorEastAsia" w:eastAsiaTheme="majorEastAsia" w:hAnsiTheme="majorEastAsia" w:cs="Segoe UI"/>
          <w:i/>
          <w:iCs/>
          <w:color w:val="404040"/>
          <w:sz w:val="24"/>
        </w:rPr>
        <w:t>et al.</w:t>
      </w:r>
      <w:r>
        <w:rPr>
          <w:rFonts w:asciiTheme="majorEastAsia" w:eastAsiaTheme="majorEastAsia" w:hAnsiTheme="majorEastAsia" w:cs="Segoe UI"/>
          <w:color w:val="404040"/>
          <w:sz w:val="24"/>
        </w:rPr>
        <w:t> The landscape of long noncoding RNAs in the human transcriptome. </w:t>
      </w:r>
      <w:r>
        <w:rPr>
          <w:rFonts w:asciiTheme="majorEastAsia" w:eastAsiaTheme="majorEastAsia" w:hAnsiTheme="majorEastAsia" w:cs="Segoe UI"/>
          <w:i/>
          <w:iCs/>
          <w:color w:val="404040"/>
          <w:sz w:val="24"/>
        </w:rPr>
        <w:t>Nat Genet</w:t>
      </w:r>
      <w:r>
        <w:rPr>
          <w:rFonts w:asciiTheme="majorEastAsia" w:eastAsiaTheme="majorEastAsia" w:hAnsiTheme="majorEastAsia" w:cs="Segoe UI"/>
          <w:color w:val="404040"/>
          <w:sz w:val="24"/>
        </w:rPr>
        <w:t> </w:t>
      </w:r>
      <w:r>
        <w:rPr>
          <w:rFonts w:asciiTheme="majorEastAsia" w:eastAsiaTheme="majorEastAsia" w:hAnsiTheme="majorEastAsia" w:cs="Segoe UI"/>
          <w:b/>
          <w:bCs/>
          <w:color w:val="404040"/>
          <w:sz w:val="24"/>
        </w:rPr>
        <w:t>47</w:t>
      </w:r>
      <w:r>
        <w:rPr>
          <w:rFonts w:asciiTheme="majorEastAsia" w:eastAsiaTheme="majorEastAsia" w:hAnsiTheme="majorEastAsia" w:cs="Segoe UI"/>
          <w:color w:val="404040"/>
          <w:sz w:val="24"/>
        </w:rPr>
        <w:t xml:space="preserve">, 199–208 (2015). </w:t>
      </w:r>
      <w:hyperlink r:id="rId16" w:history="1">
        <w:r w:rsidR="00B40C2D">
          <w:rPr>
            <w:rStyle w:val="aa"/>
            <w:rFonts w:asciiTheme="majorEastAsia" w:eastAsiaTheme="majorEastAsia" w:hAnsiTheme="majorEastAsia" w:cs="Segoe UI"/>
            <w:sz w:val="24"/>
          </w:rPr>
          <w:t>https://doi.org/10.1038/ng.3192</w:t>
        </w:r>
      </w:hyperlink>
      <w:bookmarkEnd w:id="22"/>
    </w:p>
    <w:p w14:paraId="3C4C10E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3" w:name="_Ref197434260"/>
      <w:r>
        <w:rPr>
          <w:rFonts w:asciiTheme="majorEastAsia" w:eastAsiaTheme="majorEastAsia" w:hAnsiTheme="majorEastAsia" w:cs="Segoe UI"/>
          <w:color w:val="404040"/>
          <w:sz w:val="24"/>
        </w:rPr>
        <w:t>Lixin Cheng, Kwong-Sak Leung, Quantification of non-coding RNA target localization diversity and its application in cancers, </w:t>
      </w:r>
      <w:r>
        <w:rPr>
          <w:rFonts w:asciiTheme="majorEastAsia" w:eastAsiaTheme="majorEastAsia" w:hAnsiTheme="majorEastAsia" w:cs="Segoe UI"/>
          <w:i/>
          <w:iCs/>
          <w:color w:val="404040"/>
          <w:sz w:val="24"/>
        </w:rPr>
        <w:t>Journal of Molecular Cell Biology</w:t>
      </w:r>
      <w:r>
        <w:rPr>
          <w:rFonts w:asciiTheme="majorEastAsia" w:eastAsiaTheme="majorEastAsia" w:hAnsiTheme="majorEastAsia" w:cs="Segoe UI"/>
          <w:color w:val="404040"/>
          <w:sz w:val="24"/>
        </w:rPr>
        <w:t>, Volume 10, Issue 2, April 2018, Pages 130–138, </w:t>
      </w:r>
      <w:hyperlink r:id="rId17" w:history="1">
        <w:r w:rsidR="00B40C2D">
          <w:rPr>
            <w:rStyle w:val="aa"/>
            <w:rFonts w:asciiTheme="majorEastAsia" w:eastAsiaTheme="majorEastAsia" w:hAnsiTheme="majorEastAsia" w:cs="Segoe UI"/>
            <w:sz w:val="24"/>
          </w:rPr>
          <w:t>https://doi.org/10.1093/jmcb</w:t>
        </w:r>
        <w:r w:rsidR="00B40C2D">
          <w:rPr>
            <w:rStyle w:val="aa"/>
            <w:rFonts w:asciiTheme="majorEastAsia" w:eastAsiaTheme="majorEastAsia" w:hAnsiTheme="majorEastAsia" w:cs="Segoe UI"/>
            <w:sz w:val="24"/>
          </w:rPr>
          <w:t>/</w:t>
        </w:r>
        <w:r w:rsidR="00B40C2D">
          <w:rPr>
            <w:rStyle w:val="aa"/>
            <w:rFonts w:asciiTheme="majorEastAsia" w:eastAsiaTheme="majorEastAsia" w:hAnsiTheme="majorEastAsia" w:cs="Segoe UI"/>
            <w:sz w:val="24"/>
          </w:rPr>
          <w:t>mjy006</w:t>
        </w:r>
      </w:hyperlink>
      <w:bookmarkEnd w:id="23"/>
    </w:p>
    <w:p w14:paraId="4D314881"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4" w:name="_Ref197434357"/>
      <w:r>
        <w:rPr>
          <w:rFonts w:asciiTheme="majorEastAsia" w:eastAsiaTheme="majorEastAsia" w:hAnsiTheme="majorEastAsia" w:cs="Segoe UI"/>
          <w:color w:val="404040"/>
          <w:sz w:val="24"/>
        </w:rPr>
        <w:t xml:space="preserve">Frías-Lasserre D, Villagra CA. The Importance of ncRNAs as Epigenetic Mechanisms in Phenotypic Variation and Organic Evolution. Front Microbiol. 2017 Dec </w:t>
      </w:r>
      <w:proofErr w:type="gramStart"/>
      <w:r>
        <w:rPr>
          <w:rFonts w:asciiTheme="majorEastAsia" w:eastAsiaTheme="majorEastAsia" w:hAnsiTheme="majorEastAsia" w:cs="Segoe UI"/>
          <w:color w:val="404040"/>
          <w:sz w:val="24"/>
        </w:rPr>
        <w:t>22;8:2483</w:t>
      </w:r>
      <w:proofErr w:type="gramEnd"/>
      <w:r>
        <w:rPr>
          <w:rFonts w:asciiTheme="majorEastAsia" w:eastAsiaTheme="majorEastAsia" w:hAnsiTheme="majorEastAsia" w:cs="Segoe UI"/>
          <w:color w:val="404040"/>
          <w:sz w:val="24"/>
        </w:rPr>
        <w:t>. doi: 10.3389/fmicb.2017.02483. PMID: 29312192; PMCID: PMC5744636.</w:t>
      </w:r>
      <w:bookmarkEnd w:id="24"/>
    </w:p>
    <w:p w14:paraId="76B76DDA"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5" w:name="_Ref197434708"/>
      <w:r>
        <w:rPr>
          <w:rFonts w:asciiTheme="majorEastAsia" w:eastAsiaTheme="majorEastAsia" w:hAnsiTheme="majorEastAsia" w:cs="Segoe UI"/>
          <w:color w:val="404040"/>
          <w:sz w:val="24"/>
        </w:rPr>
        <w:t xml:space="preserve">Xianwen Meng, Xue Li, Peijing Zhang, Jingjing Wang, Yincong Zhou, Ming Chen, Circular RNA: an emerging key player in RNA </w:t>
      </w:r>
      <w:r>
        <w:rPr>
          <w:rFonts w:asciiTheme="majorEastAsia" w:eastAsiaTheme="majorEastAsia" w:hAnsiTheme="majorEastAsia" w:cs="Segoe UI"/>
          <w:color w:val="404040"/>
          <w:sz w:val="24"/>
        </w:rPr>
        <w:lastRenderedPageBreak/>
        <w:t>world, </w:t>
      </w:r>
      <w:r>
        <w:rPr>
          <w:rFonts w:asciiTheme="majorEastAsia" w:eastAsiaTheme="majorEastAsia" w:hAnsiTheme="majorEastAsia" w:cs="Segoe UI"/>
          <w:i/>
          <w:iCs/>
          <w:color w:val="404040"/>
          <w:sz w:val="24"/>
        </w:rPr>
        <w:t>Briefings in Bioinformatics</w:t>
      </w:r>
      <w:r>
        <w:rPr>
          <w:rFonts w:asciiTheme="majorEastAsia" w:eastAsiaTheme="majorEastAsia" w:hAnsiTheme="majorEastAsia" w:cs="Segoe UI"/>
          <w:color w:val="404040"/>
          <w:sz w:val="24"/>
        </w:rPr>
        <w:t>, Volume 18, Issue 4, July 2017, Pages 547–557, </w:t>
      </w:r>
      <w:hyperlink r:id="rId18" w:history="1">
        <w:r w:rsidR="00B40C2D">
          <w:rPr>
            <w:rStyle w:val="aa"/>
            <w:rFonts w:asciiTheme="majorEastAsia" w:eastAsiaTheme="majorEastAsia" w:hAnsiTheme="majorEastAsia" w:cs="Segoe UI"/>
            <w:sz w:val="24"/>
          </w:rPr>
          <w:t>https://doi.o</w:t>
        </w:r>
        <w:r w:rsidR="00B40C2D">
          <w:rPr>
            <w:rStyle w:val="aa"/>
            <w:rFonts w:asciiTheme="majorEastAsia" w:eastAsiaTheme="majorEastAsia" w:hAnsiTheme="majorEastAsia" w:cs="Segoe UI"/>
            <w:sz w:val="24"/>
          </w:rPr>
          <w:t>r</w:t>
        </w:r>
        <w:r w:rsidR="00B40C2D">
          <w:rPr>
            <w:rStyle w:val="aa"/>
            <w:rFonts w:asciiTheme="majorEastAsia" w:eastAsiaTheme="majorEastAsia" w:hAnsiTheme="majorEastAsia" w:cs="Segoe UI"/>
            <w:sz w:val="24"/>
          </w:rPr>
          <w:t>g/10.1093/bib/bbw045</w:t>
        </w:r>
      </w:hyperlink>
      <w:bookmarkEnd w:id="25"/>
    </w:p>
    <w:p w14:paraId="75FE4119"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6" w:name="_Ref198392404"/>
      <w:r>
        <w:rPr>
          <w:rFonts w:asciiTheme="majorEastAsia" w:eastAsiaTheme="majorEastAsia" w:hAnsiTheme="majorEastAsia" w:cs="Segoe UI"/>
          <w:color w:val="404040"/>
          <w:sz w:val="24"/>
        </w:rPr>
        <w:t>Cocquerelle, C.; Daubersies, P.; Majerus, M.A.; Kerckaert, J.P.; Bailleul, B. Splicing with inverted order of exons occurs proximal to large introns. EMBO J. 1992, 11, 1095–1098.</w:t>
      </w:r>
      <w:bookmarkEnd w:id="26"/>
    </w:p>
    <w:p w14:paraId="3614547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7" w:name="_Ref198392640"/>
      <w:r>
        <w:rPr>
          <w:rFonts w:asciiTheme="majorEastAsia" w:eastAsiaTheme="majorEastAsia" w:hAnsiTheme="majorEastAsia" w:cs="Segoe UI"/>
          <w:color w:val="404040"/>
          <w:sz w:val="24"/>
        </w:rPr>
        <w:t>Sanger, H.L.; Klotz, G.; Riesner, D.; Gross, H.J.; Kleinschmidt, A.K. Viroids are single-stranded covalently closed circular RNA molecules existing as highly base-paired rod-like structures. Proc. Natl. Acad. Sci. USA 1976, 73, 3852–3856.</w:t>
      </w:r>
      <w:bookmarkEnd w:id="27"/>
      <w:r>
        <w:rPr>
          <w:rFonts w:asciiTheme="majorEastAsia" w:eastAsiaTheme="majorEastAsia" w:hAnsiTheme="majorEastAsia" w:cs="Segoe UI"/>
          <w:color w:val="404040"/>
          <w:sz w:val="24"/>
        </w:rPr>
        <w:t xml:space="preserve"> </w:t>
      </w:r>
    </w:p>
    <w:p w14:paraId="44FA3BB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8" w:name="_Ref198392642"/>
      <w:r>
        <w:rPr>
          <w:rFonts w:asciiTheme="majorEastAsia" w:eastAsiaTheme="majorEastAsia" w:hAnsiTheme="majorEastAsia" w:cs="Segoe UI"/>
          <w:color w:val="404040"/>
          <w:sz w:val="24"/>
        </w:rPr>
        <w:t>Cocquerelle, C.; Mascrez, B.; Hétuin, D.; Bailleul, B. Mis-splicing yields circular RNA molecules. FASEB J. 1993, 7, 155–160.</w:t>
      </w:r>
      <w:bookmarkEnd w:id="28"/>
    </w:p>
    <w:p w14:paraId="4ED1C26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29" w:name="_Ref198392898"/>
      <w:r>
        <w:rPr>
          <w:rFonts w:asciiTheme="majorEastAsia" w:eastAsiaTheme="majorEastAsia" w:hAnsiTheme="majorEastAsia" w:cs="Segoe UI"/>
          <w:color w:val="404040"/>
          <w:sz w:val="24"/>
        </w:rPr>
        <w:t>Zaphiropoulos, P.G. Circular RNAs from transcripts of the rat cytochrome P450 2C24 gene: Correlation with exon skipping. Proc. Natl. Acad. Sci. USA 1996, 93, 6536–6541.</w:t>
      </w:r>
      <w:bookmarkEnd w:id="29"/>
    </w:p>
    <w:p w14:paraId="601CE5D4"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0" w:name="_Ref198393033"/>
      <w:r>
        <w:rPr>
          <w:rFonts w:asciiTheme="majorEastAsia" w:eastAsiaTheme="majorEastAsia" w:hAnsiTheme="majorEastAsia" w:cs="Segoe UI"/>
          <w:color w:val="404040"/>
          <w:sz w:val="24"/>
        </w:rPr>
        <w:t>Li, Z.; Huang, C.; Bao, C.; Chen, L.; Lin, M.; Wang, X.; Zhong, G.; Yu, B.; Hu, W.; Dai, L.; et al. Exon-intron circular RNAs regulate transcription in the nucleus. Nat. Struct. Mol. Biol. 2015, 22, 256.</w:t>
      </w:r>
      <w:bookmarkEnd w:id="30"/>
    </w:p>
    <w:p w14:paraId="4FA9D71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1" w:name="_Ref198393035"/>
      <w:r>
        <w:rPr>
          <w:rFonts w:asciiTheme="majorEastAsia" w:eastAsiaTheme="majorEastAsia" w:hAnsiTheme="majorEastAsia" w:cs="Segoe UI"/>
          <w:color w:val="404040"/>
          <w:sz w:val="24"/>
        </w:rPr>
        <w:t>Salzman, J.; Gawad, C.; Wang, P.L.; Lacayo, N.; Brown, P.O. Circular RNAs are the predominant transcript isoform from hundreds of human genes in diverse cell types. PloS ONE 2012, 7, e30733.</w:t>
      </w:r>
      <w:bookmarkEnd w:id="31"/>
    </w:p>
    <w:p w14:paraId="41AEA9B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2" w:name="_Ref198466526"/>
      <w:r>
        <w:rPr>
          <w:rFonts w:asciiTheme="majorEastAsia" w:eastAsiaTheme="majorEastAsia" w:hAnsiTheme="majorEastAsia" w:cs="Segoe UI"/>
          <w:color w:val="404040"/>
          <w:sz w:val="24"/>
        </w:rPr>
        <w:t>Chen L, Shan G. CircRNA in cancer: fundamental mechanism and clinical potential[J]. Cancer letters, 2021, 505: 49-57.</w:t>
      </w:r>
      <w:bookmarkEnd w:id="32"/>
    </w:p>
    <w:p w14:paraId="64B08E3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3" w:name="_Ref198471299"/>
      <w:r>
        <w:rPr>
          <w:rFonts w:asciiTheme="majorEastAsia" w:eastAsiaTheme="majorEastAsia" w:hAnsiTheme="majorEastAsia" w:cs="Segoe UI"/>
          <w:color w:val="404040"/>
          <w:sz w:val="24"/>
        </w:rPr>
        <w:t>Geng, X.; Jia, Y.; Zhang, Y.; Shi, L.; Li, Q.; Zang, A.; Wang, H. Circular RNA: Biogenesis, degradation, functions and potential roles in mediating resistance to anticarcinogens. Epigenomics 2020, 12, 267–283.</w:t>
      </w:r>
      <w:bookmarkEnd w:id="33"/>
    </w:p>
    <w:p w14:paraId="644CC68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4" w:name="_Ref198471300"/>
      <w:r>
        <w:rPr>
          <w:rFonts w:asciiTheme="majorEastAsia" w:eastAsiaTheme="majorEastAsia" w:hAnsiTheme="majorEastAsia" w:cs="Segoe UI"/>
          <w:color w:val="404040"/>
          <w:sz w:val="24"/>
        </w:rPr>
        <w:t>Liu, J.; Yang, L.; Fu, Q.; Liu, S. Emerging roles and potential biological value of circRNA in osteosarcoma. Front. Oncol. 2020, 10, 552236.</w:t>
      </w:r>
      <w:bookmarkEnd w:id="34"/>
    </w:p>
    <w:p w14:paraId="7069B848"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5" w:name="_Ref198471301"/>
      <w:r>
        <w:rPr>
          <w:rFonts w:asciiTheme="majorEastAsia" w:eastAsiaTheme="majorEastAsia" w:hAnsiTheme="majorEastAsia" w:cs="Segoe UI"/>
          <w:color w:val="404040"/>
          <w:sz w:val="24"/>
        </w:rPr>
        <w:t>Holdt, L.M.; Kohlmaier, A.; Teupser, D. Molecular roles and function of circular RNAs in eukaryotic cells. Cell. Mol. Life Sci. 2018, 75, 1071–1098.</w:t>
      </w:r>
      <w:bookmarkEnd w:id="35"/>
    </w:p>
    <w:p w14:paraId="22CF90AD"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6" w:name="_Ref198471492"/>
      <w:r>
        <w:rPr>
          <w:rFonts w:asciiTheme="majorEastAsia" w:eastAsiaTheme="majorEastAsia" w:hAnsiTheme="majorEastAsia" w:cs="Segoe UI"/>
          <w:color w:val="404040"/>
          <w:sz w:val="24"/>
        </w:rPr>
        <w:t>Bachmayr-Heyda, A.; Reiner, A.T.; Auer, K.; Sukhbaatar, N.; Aust, S.; Bachleitner-Hofmann, T.; Mesteri, I.; Grunt, T.W.; Zeillinger, R.; Pils, D. Correlation of circular RNA abundance with proliferation–exemplified with colorectal and ovarian cancer, idiopathic lung fibrosis and normal human tissues. Sci. Rep. 2015, 5, 1–10.</w:t>
      </w:r>
      <w:bookmarkEnd w:id="36"/>
    </w:p>
    <w:p w14:paraId="0FEE13B1"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7" w:name="_Ref198471527"/>
      <w:r>
        <w:rPr>
          <w:rFonts w:asciiTheme="majorEastAsia" w:eastAsiaTheme="majorEastAsia" w:hAnsiTheme="majorEastAsia" w:cs="Segoe UI"/>
          <w:color w:val="404040"/>
          <w:sz w:val="24"/>
        </w:rPr>
        <w:t>Li, F.; Zhang, L.; Li, W.; Deng, J.; Zheng, J.; An, M.; Lu, J.; Zhou, Y. Circular RNA ITCH has inhibitory effect on ESCC by suppressing the Wnt/β-catenin pathway. Oncotarget 2015, 6, 6001.</w:t>
      </w:r>
      <w:bookmarkEnd w:id="37"/>
    </w:p>
    <w:p w14:paraId="3B7634C8"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8" w:name="_Ref198471563"/>
      <w:r>
        <w:rPr>
          <w:rFonts w:asciiTheme="majorEastAsia" w:eastAsiaTheme="majorEastAsia" w:hAnsiTheme="majorEastAsia" w:cs="Segoe UI"/>
          <w:color w:val="404040"/>
          <w:sz w:val="24"/>
        </w:rPr>
        <w:lastRenderedPageBreak/>
        <w:t>Li, P.; Chen, S.; Chen, H.; Mo, X.; Li, T.; Shao, Y.; Xiao, B.; Guo, J. Using circular RNA as a novel type of biomarker in the screening of gastric cancer. Clin. Chim. Acta 2015, 444, 132–136.</w:t>
      </w:r>
      <w:bookmarkEnd w:id="38"/>
    </w:p>
    <w:p w14:paraId="0D732FE8" w14:textId="4A7683B3" w:rsidR="00A80852" w:rsidRDefault="00A80852">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39" w:name="_Ref201492758"/>
      <w:r w:rsidRPr="00A80852">
        <w:rPr>
          <w:rFonts w:asciiTheme="majorEastAsia" w:eastAsiaTheme="majorEastAsia" w:hAnsiTheme="majorEastAsia" w:cs="Segoe UI"/>
          <w:color w:val="404040"/>
          <w:sz w:val="24"/>
        </w:rPr>
        <w:t>Li Xue, Bin Tang, Wei Chen, Jiesi Luo, DeepT3: deep convolutional neural networks accurately identify Gram-negative bacterial type III secreted effectors using the N-terminal sequence, </w:t>
      </w:r>
      <w:r w:rsidRPr="00A80852">
        <w:rPr>
          <w:rFonts w:asciiTheme="majorEastAsia" w:eastAsiaTheme="majorEastAsia" w:hAnsiTheme="majorEastAsia" w:cs="Segoe UI"/>
          <w:i/>
          <w:iCs/>
          <w:color w:val="404040"/>
          <w:sz w:val="24"/>
        </w:rPr>
        <w:t>Bioinformatics</w:t>
      </w:r>
      <w:r w:rsidRPr="00A80852">
        <w:rPr>
          <w:rFonts w:asciiTheme="majorEastAsia" w:eastAsiaTheme="majorEastAsia" w:hAnsiTheme="majorEastAsia" w:cs="Segoe UI"/>
          <w:color w:val="404040"/>
          <w:sz w:val="24"/>
        </w:rPr>
        <w:t>, Volume 35, Issue 12, June 2019, Pages 2051–2057, </w:t>
      </w:r>
      <w:hyperlink r:id="rId19" w:history="1">
        <w:r w:rsidRPr="00A80852">
          <w:rPr>
            <w:rStyle w:val="aa"/>
            <w:rFonts w:asciiTheme="majorEastAsia" w:eastAsiaTheme="majorEastAsia" w:hAnsiTheme="majorEastAsia" w:cs="Segoe UI"/>
            <w:sz w:val="24"/>
          </w:rPr>
          <w:t>https://doi.org/10.1093/bioinformatics/bty931</w:t>
        </w:r>
      </w:hyperlink>
      <w:bookmarkEnd w:id="39"/>
    </w:p>
    <w:p w14:paraId="2A808D9C" w14:textId="505DF5C8" w:rsidR="005960ED" w:rsidRDefault="005960ED">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0" w:name="_Ref201493237"/>
      <w:r w:rsidRPr="005960ED">
        <w:rPr>
          <w:rFonts w:asciiTheme="majorEastAsia" w:eastAsiaTheme="majorEastAsia" w:hAnsiTheme="majorEastAsia" w:cs="Segoe UI"/>
          <w:color w:val="404040"/>
          <w:sz w:val="24"/>
        </w:rPr>
        <w:t>Xu M, Chen Y, Xu Z. et al. MiRLoc: predicting miRNA subcellular localization by incorporating miRNA–mRNA interactions and mRNA subcellular localization. Brief Bioinform 2022;23: bbac044</w:t>
      </w:r>
      <w:bookmarkEnd w:id="40"/>
    </w:p>
    <w:p w14:paraId="1AA83C78" w14:textId="410C2C7C" w:rsidR="005960ED" w:rsidRDefault="005960ED">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1" w:name="_Ref201493243"/>
      <w:r w:rsidRPr="005960ED">
        <w:rPr>
          <w:rFonts w:asciiTheme="majorEastAsia" w:eastAsiaTheme="majorEastAsia" w:hAnsiTheme="majorEastAsia" w:cs="Segoe UI"/>
          <w:color w:val="404040"/>
          <w:sz w:val="24"/>
        </w:rPr>
        <w:t>Bai T, Yan K, Liu B. DAmiRLocGNet: miRNA subcellular localization prediction by combining miRNA-disease associations and graph convolutional networks. Brief Bioinform 2023;</w:t>
      </w:r>
      <w:proofErr w:type="gramStart"/>
      <w:r w:rsidRPr="005960ED">
        <w:rPr>
          <w:rFonts w:asciiTheme="majorEastAsia" w:eastAsiaTheme="majorEastAsia" w:hAnsiTheme="majorEastAsia" w:cs="Segoe UI"/>
          <w:color w:val="404040"/>
          <w:sz w:val="24"/>
        </w:rPr>
        <w:t>24:bbad</w:t>
      </w:r>
      <w:proofErr w:type="gramEnd"/>
      <w:r w:rsidRPr="005960ED">
        <w:rPr>
          <w:rFonts w:asciiTheme="majorEastAsia" w:eastAsiaTheme="majorEastAsia" w:hAnsiTheme="majorEastAsia" w:cs="Segoe UI"/>
          <w:color w:val="404040"/>
          <w:sz w:val="24"/>
        </w:rPr>
        <w:t>212.</w:t>
      </w:r>
      <w:bookmarkEnd w:id="41"/>
    </w:p>
    <w:p w14:paraId="40D3C16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2" w:name="_Ref198976041"/>
      <w:r>
        <w:rPr>
          <w:rFonts w:asciiTheme="majorEastAsia" w:eastAsiaTheme="majorEastAsia" w:hAnsiTheme="majorEastAsia" w:cs="Segoe UI"/>
          <w:color w:val="404040"/>
          <w:sz w:val="24"/>
        </w:rPr>
        <w:t xml:space="preserve">Chen, Z.; Zhao, P.; Li, C.; Li, F.; Xiang, D.; Chen, Y.Z.; Akutsu, T.; Daly, R.J.; Webb, G.I.; Zhao, Q.; et al. iLearnPlus: A comprehensive and automated machine-learning platform for nucleic acid and protein sequence analysis, prediction and visualization. Nucleic Acids Res. 2021, 49, e60. </w:t>
      </w:r>
      <w:bookmarkEnd w:id="42"/>
    </w:p>
    <w:p w14:paraId="16B0A4E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3" w:name="_Ref198976743"/>
      <w:r>
        <w:rPr>
          <w:rFonts w:asciiTheme="majorEastAsia" w:eastAsiaTheme="majorEastAsia" w:hAnsiTheme="majorEastAsia" w:cs="Segoe UI"/>
          <w:color w:val="404040"/>
          <w:sz w:val="24"/>
        </w:rPr>
        <w:t>Asim, M.N.; Malik, M.I.; Zehe, C.; Trygg, J.; Dengel, A.; Ahmed, S. MirLocPredictor: A ConvNet-Based Multi-Label MicroRNA Subcellular Localization Predictor by Incorporating k-Mer Positional Information. Genes 2020, 11, 1475.</w:t>
      </w:r>
      <w:bookmarkEnd w:id="43"/>
    </w:p>
    <w:p w14:paraId="11B3FDA1"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4" w:name="_Ref198976746"/>
      <w:r>
        <w:rPr>
          <w:rFonts w:asciiTheme="majorEastAsia" w:eastAsiaTheme="majorEastAsia" w:hAnsiTheme="majorEastAsia" w:cs="Segoe UI"/>
          <w:color w:val="404040"/>
          <w:sz w:val="24"/>
        </w:rPr>
        <w:t>Monga, I.; Banerjee, I. Computational identification of piRNAs using features based on rna sequence, structure, thermodynamic and physicochemical properties. Curr. Genom. 2019, 20, 508–518.</w:t>
      </w:r>
      <w:bookmarkEnd w:id="44"/>
    </w:p>
    <w:p w14:paraId="4115C1A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5" w:name="_Ref198977188"/>
      <w:r>
        <w:rPr>
          <w:rFonts w:asciiTheme="majorEastAsia" w:eastAsiaTheme="majorEastAsia" w:hAnsiTheme="majorEastAsia" w:cs="Segoe UI"/>
          <w:color w:val="404040"/>
          <w:sz w:val="24"/>
        </w:rPr>
        <w:t>Niu, M.; Zhang, J.; Li, Y.; Wang, C.; Liu, Z.; Ding, H.; Zou, Q.; Ma, Q. CirRNAPL: A web server for the identification of circRNA based on extreme learning machine. Comput. Struct. Biotechnol. J. 2020, 18, 834–842.</w:t>
      </w:r>
      <w:bookmarkEnd w:id="45"/>
    </w:p>
    <w:p w14:paraId="7AB4394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r>
        <w:rPr>
          <w:rFonts w:asciiTheme="majorEastAsia" w:eastAsiaTheme="majorEastAsia" w:hAnsiTheme="majorEastAsia" w:cs="Segoe UI"/>
          <w:color w:val="404040"/>
          <w:sz w:val="24"/>
        </w:rPr>
        <w:t>Lv, H.; Zhang, Z.M.; Li, S.H.; Tan, J.X.; Chen, W.; Lin, H. Evaluation of different computational methods on 5-methylcytosine sites identification. Briefings Bioinform. 2020, 21, 982–995.</w:t>
      </w:r>
    </w:p>
    <w:p w14:paraId="6F0554E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6" w:name="_Ref198978290"/>
      <w:r>
        <w:rPr>
          <w:rFonts w:asciiTheme="majorEastAsia" w:eastAsiaTheme="majorEastAsia" w:hAnsiTheme="majorEastAsia" w:cs="Segoe UI"/>
          <w:color w:val="404040"/>
          <w:sz w:val="24"/>
        </w:rPr>
        <w:t>Lee, D.; Karchin, R.; Beer, M.A. Discriminative prediction of mammalian enhancers from DNA sequence. Genome Res. 2011, 21, 2167–2180</w:t>
      </w:r>
      <w:r>
        <w:rPr>
          <w:rFonts w:asciiTheme="majorEastAsia" w:eastAsiaTheme="majorEastAsia" w:hAnsiTheme="majorEastAsia" w:cs="Segoe UI" w:hint="eastAsia"/>
          <w:color w:val="404040"/>
          <w:sz w:val="24"/>
        </w:rPr>
        <w:t>.</w:t>
      </w:r>
      <w:bookmarkEnd w:id="46"/>
    </w:p>
    <w:p w14:paraId="3A97A133"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7" w:name="_Ref198978299"/>
      <w:r>
        <w:rPr>
          <w:rFonts w:asciiTheme="majorEastAsia" w:eastAsiaTheme="majorEastAsia" w:hAnsiTheme="majorEastAsia" w:cs="Segoe UI"/>
          <w:color w:val="404040"/>
          <w:sz w:val="24"/>
        </w:rPr>
        <w:t>Gupta, S.; Dennis, J.; Thurman, R.E.; Kingston, R.; Stamatoyannopoulos, J.A.; Noble, W.S. Predicting human nucleosome occupancy from primary sequence PLoS Comput. Biol. 2008, 4, e1000134.</w:t>
      </w:r>
      <w:bookmarkEnd w:id="47"/>
    </w:p>
    <w:p w14:paraId="660FF5A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8" w:name="_Ref198978301"/>
      <w:r>
        <w:rPr>
          <w:rFonts w:asciiTheme="majorEastAsia" w:eastAsiaTheme="majorEastAsia" w:hAnsiTheme="majorEastAsia" w:cs="Segoe UI"/>
          <w:color w:val="404040"/>
          <w:sz w:val="24"/>
        </w:rPr>
        <w:lastRenderedPageBreak/>
        <w:t>Noble, W.S.; Kuehn, S.; Thurman, R.; Yu, M.; Stamatoyannopoulos, J. Predicting the in vivo signature of human gene regulatory sequences. Bioinformatics 2005, 21, i338–i343.</w:t>
      </w:r>
      <w:bookmarkEnd w:id="48"/>
    </w:p>
    <w:p w14:paraId="0D50A0A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49" w:name="_Ref198978307"/>
      <w:r>
        <w:rPr>
          <w:rFonts w:asciiTheme="majorEastAsia" w:eastAsiaTheme="majorEastAsia" w:hAnsiTheme="majorEastAsia" w:cs="Segoe UI"/>
          <w:color w:val="404040"/>
          <w:sz w:val="24"/>
        </w:rPr>
        <w:t>Fletez-Brant, C.; Lee, D.; McCallion, A.S.; Beer, M.A. kmer-SVM: A web server for identifying predictive regulatory sequence features in genomic data sets. Nucleic Acids Res. 2013, 41, W544–W556.</w:t>
      </w:r>
      <w:bookmarkEnd w:id="49"/>
    </w:p>
    <w:p w14:paraId="692FDFFC"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0" w:name="_Ref198985698"/>
      <w:r>
        <w:rPr>
          <w:rFonts w:asciiTheme="majorEastAsia" w:eastAsiaTheme="majorEastAsia" w:hAnsiTheme="majorEastAsia" w:cs="Segoe UI"/>
          <w:color w:val="404040"/>
          <w:sz w:val="24"/>
        </w:rPr>
        <w:t>Zuo, Y.; Zhou, H.; Yue, Z. ProRice: An Ensemble Learning Approach for Predicting Promoters in Rice. In Proceedings of the 4th International Conference on Computer Science and Application Engineering, Sanya, China, 20–22 October 2020; pp. 1–5.</w:t>
      </w:r>
      <w:bookmarkEnd w:id="50"/>
    </w:p>
    <w:p w14:paraId="6CB0C50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1" w:name="_Ref198985721"/>
      <w:r>
        <w:rPr>
          <w:rFonts w:asciiTheme="majorEastAsia" w:eastAsiaTheme="majorEastAsia" w:hAnsiTheme="majorEastAsia" w:cs="Segoe UI"/>
          <w:color w:val="404040"/>
          <w:sz w:val="24"/>
        </w:rPr>
        <w:t>Xu, H.; Jia, P.; Zhao, Z. Deep4mC: Systematic assessment and computational prediction for DNA N4-methylcytosine sites by deep learning. Briefings Bioinform. 2020, 22, bbaa099</w:t>
      </w:r>
      <w:bookmarkEnd w:id="51"/>
      <w:r>
        <w:rPr>
          <w:rFonts w:asciiTheme="majorEastAsia" w:eastAsiaTheme="majorEastAsia" w:hAnsiTheme="majorEastAsia" w:cs="Segoe UI" w:hint="eastAsia"/>
          <w:color w:val="404040"/>
          <w:sz w:val="24"/>
        </w:rPr>
        <w:t>.</w:t>
      </w:r>
    </w:p>
    <w:p w14:paraId="54836865"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2" w:name="_Ref198985755"/>
      <w:r>
        <w:rPr>
          <w:rFonts w:asciiTheme="majorEastAsia" w:eastAsiaTheme="majorEastAsia" w:hAnsiTheme="majorEastAsia" w:cs="Segoe UI"/>
          <w:color w:val="404040"/>
          <w:sz w:val="24"/>
        </w:rPr>
        <w:t>Wang, H.; Ding, Y.; Tang, J.; Zou, Q.; Guo, F. Multi-label learning for identi cation of RNA-associated subcellular localizations. Res. Sq. 2020.</w:t>
      </w:r>
      <w:bookmarkEnd w:id="52"/>
    </w:p>
    <w:p w14:paraId="5048D63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3" w:name="_Ref199265838"/>
      <w:r>
        <w:rPr>
          <w:rFonts w:asciiTheme="majorEastAsia" w:eastAsiaTheme="majorEastAsia" w:hAnsiTheme="majorEastAsia" w:cs="Segoe UI"/>
          <w:color w:val="404040"/>
          <w:sz w:val="24"/>
        </w:rPr>
        <w:t>Wang, N., Bian, J., Li, Y. </w:t>
      </w:r>
      <w:r>
        <w:rPr>
          <w:rFonts w:asciiTheme="majorEastAsia" w:eastAsiaTheme="majorEastAsia" w:hAnsiTheme="majorEastAsia" w:cs="Segoe UI"/>
          <w:i/>
          <w:iCs/>
          <w:color w:val="404040"/>
          <w:sz w:val="24"/>
        </w:rPr>
        <w:t>et al.</w:t>
      </w:r>
      <w:r>
        <w:rPr>
          <w:rFonts w:asciiTheme="majorEastAsia" w:eastAsiaTheme="majorEastAsia" w:hAnsiTheme="majorEastAsia" w:cs="Segoe UI"/>
          <w:color w:val="404040"/>
          <w:sz w:val="24"/>
        </w:rPr>
        <w:t> Multi-purpose RNA language modelling with motif-aware pretraining and type-guided fine-tuning. </w:t>
      </w:r>
      <w:r>
        <w:rPr>
          <w:rFonts w:asciiTheme="majorEastAsia" w:eastAsiaTheme="majorEastAsia" w:hAnsiTheme="majorEastAsia" w:cs="Segoe UI"/>
          <w:i/>
          <w:iCs/>
          <w:color w:val="404040"/>
          <w:sz w:val="24"/>
        </w:rPr>
        <w:t>Nat Mach Intell</w:t>
      </w:r>
      <w:r>
        <w:rPr>
          <w:rFonts w:asciiTheme="majorEastAsia" w:eastAsiaTheme="majorEastAsia" w:hAnsiTheme="majorEastAsia" w:cs="Segoe UI"/>
          <w:color w:val="404040"/>
          <w:sz w:val="24"/>
        </w:rPr>
        <w:t> </w:t>
      </w:r>
      <w:r>
        <w:rPr>
          <w:rFonts w:asciiTheme="majorEastAsia" w:eastAsiaTheme="majorEastAsia" w:hAnsiTheme="majorEastAsia" w:cs="Segoe UI"/>
          <w:b/>
          <w:bCs/>
          <w:color w:val="404040"/>
          <w:sz w:val="24"/>
        </w:rPr>
        <w:t>6</w:t>
      </w:r>
      <w:r>
        <w:rPr>
          <w:rFonts w:asciiTheme="majorEastAsia" w:eastAsiaTheme="majorEastAsia" w:hAnsiTheme="majorEastAsia" w:cs="Segoe UI"/>
          <w:color w:val="404040"/>
          <w:sz w:val="24"/>
        </w:rPr>
        <w:t>, 548–557 (2024). https://doi.org/10.1038/s42256-024-00836-4</w:t>
      </w:r>
      <w:bookmarkEnd w:id="53"/>
    </w:p>
    <w:p w14:paraId="154EC88F"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4" w:name="_Ref199003078"/>
      <w:r>
        <w:rPr>
          <w:rFonts w:asciiTheme="majorEastAsia" w:eastAsiaTheme="majorEastAsia" w:hAnsiTheme="majorEastAsia" w:cs="Segoe UI"/>
          <w:color w:val="404040"/>
          <w:sz w:val="24"/>
        </w:rPr>
        <w:t xml:space="preserve">Smith TF, Waterman MS. Identification of common molecular subsequences. J Mol Biol </w:t>
      </w:r>
      <w:proofErr w:type="gramStart"/>
      <w:r>
        <w:rPr>
          <w:rFonts w:asciiTheme="majorEastAsia" w:eastAsiaTheme="majorEastAsia" w:hAnsiTheme="majorEastAsia" w:cs="Segoe UI"/>
          <w:color w:val="404040"/>
          <w:sz w:val="24"/>
        </w:rPr>
        <w:t>1981;147:195</w:t>
      </w:r>
      <w:proofErr w:type="gramEnd"/>
      <w:r>
        <w:rPr>
          <w:rFonts w:asciiTheme="majorEastAsia" w:eastAsiaTheme="majorEastAsia" w:hAnsiTheme="majorEastAsia" w:cs="Segoe UI"/>
          <w:color w:val="404040"/>
          <w:sz w:val="24"/>
        </w:rPr>
        <w:t>–7. https://doi. org/10.1016/0022-2836(81)90087-5.</w:t>
      </w:r>
      <w:bookmarkEnd w:id="54"/>
    </w:p>
    <w:p w14:paraId="0A70E1D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5" w:name="_Ref199007134"/>
      <w:r>
        <w:rPr>
          <w:rFonts w:asciiTheme="majorEastAsia" w:eastAsiaTheme="majorEastAsia" w:hAnsiTheme="majorEastAsia" w:cs="Segoe UI"/>
          <w:color w:val="404040"/>
          <w:sz w:val="24"/>
        </w:rPr>
        <w:t xml:space="preserve">Meng S, Zhou H, Feng Z, et al. CircRNA: functions and properties of a novel potential biomarker for cancer. Mol Cancer </w:t>
      </w:r>
      <w:proofErr w:type="gramStart"/>
      <w:r>
        <w:rPr>
          <w:rFonts w:asciiTheme="majorEastAsia" w:eastAsiaTheme="majorEastAsia" w:hAnsiTheme="majorEastAsia" w:cs="Segoe UI"/>
          <w:color w:val="404040"/>
          <w:sz w:val="24"/>
        </w:rPr>
        <w:t>2017;16:94</w:t>
      </w:r>
      <w:proofErr w:type="gramEnd"/>
      <w:r>
        <w:rPr>
          <w:rFonts w:asciiTheme="majorEastAsia" w:eastAsiaTheme="majorEastAsia" w:hAnsiTheme="majorEastAsia" w:cs="Segoe UI"/>
          <w:color w:val="404040"/>
          <w:sz w:val="24"/>
        </w:rPr>
        <w:t>.</w:t>
      </w:r>
      <w:bookmarkEnd w:id="55"/>
    </w:p>
    <w:p w14:paraId="2795421C"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6" w:name="_Ref199007135"/>
      <w:r>
        <w:rPr>
          <w:rFonts w:asciiTheme="majorEastAsia" w:eastAsiaTheme="majorEastAsia" w:hAnsiTheme="majorEastAsia" w:cs="Segoe UI"/>
          <w:color w:val="404040"/>
          <w:sz w:val="24"/>
        </w:rPr>
        <w:t xml:space="preserve">Gao JL, Chen G, He HQ, et al. CircRNA as a new field in human disease research. Zhongguo Zhong Yao Za Zhi </w:t>
      </w:r>
      <w:proofErr w:type="gramStart"/>
      <w:r>
        <w:rPr>
          <w:rFonts w:asciiTheme="majorEastAsia" w:eastAsiaTheme="majorEastAsia" w:hAnsiTheme="majorEastAsia" w:cs="Segoe UI"/>
          <w:color w:val="404040"/>
          <w:sz w:val="24"/>
        </w:rPr>
        <w:t>2018;43:457</w:t>
      </w:r>
      <w:proofErr w:type="gramEnd"/>
      <w:r>
        <w:rPr>
          <w:rFonts w:asciiTheme="majorEastAsia" w:eastAsiaTheme="majorEastAsia" w:hAnsiTheme="majorEastAsia" w:cs="Segoe UI"/>
          <w:color w:val="404040"/>
          <w:sz w:val="24"/>
        </w:rPr>
        <w:t>–62.</w:t>
      </w:r>
      <w:bookmarkEnd w:id="56"/>
    </w:p>
    <w:p w14:paraId="241604D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7" w:name="_Ref199007136"/>
      <w:r>
        <w:rPr>
          <w:rFonts w:asciiTheme="majorEastAsia" w:eastAsiaTheme="majorEastAsia" w:hAnsiTheme="majorEastAsia" w:cs="Segoe UI"/>
          <w:color w:val="404040"/>
          <w:sz w:val="24"/>
        </w:rPr>
        <w:t xml:space="preserve">Guarnerio J, Bezzi M, Jeong JC, et al. Oncogenic role of fusion-circRNAs derived from cancer-associated chromosomal translocations. Cell </w:t>
      </w:r>
      <w:proofErr w:type="gramStart"/>
      <w:r>
        <w:rPr>
          <w:rFonts w:asciiTheme="majorEastAsia" w:eastAsiaTheme="majorEastAsia" w:hAnsiTheme="majorEastAsia" w:cs="Segoe UI"/>
          <w:color w:val="404040"/>
          <w:sz w:val="24"/>
        </w:rPr>
        <w:t>2016;166:1055</w:t>
      </w:r>
      <w:proofErr w:type="gramEnd"/>
      <w:r>
        <w:rPr>
          <w:rFonts w:asciiTheme="majorEastAsia" w:eastAsiaTheme="majorEastAsia" w:hAnsiTheme="majorEastAsia" w:cs="Segoe UI"/>
          <w:color w:val="404040"/>
          <w:sz w:val="24"/>
        </w:rPr>
        <w:t>–6.</w:t>
      </w:r>
      <w:bookmarkEnd w:id="57"/>
    </w:p>
    <w:p w14:paraId="7BC374D4"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58" w:name="_Ref199007137"/>
      <w:r>
        <w:rPr>
          <w:rFonts w:asciiTheme="majorEastAsia" w:eastAsiaTheme="majorEastAsia" w:hAnsiTheme="majorEastAsia" w:cs="Segoe UI"/>
          <w:color w:val="404040"/>
          <w:sz w:val="24"/>
        </w:rPr>
        <w:t xml:space="preserve">Shang Q, Yang Z, Jia R, et al. The novel roles of circRNAs in human cancer. Mol Cancer </w:t>
      </w:r>
      <w:proofErr w:type="gramStart"/>
      <w:r>
        <w:rPr>
          <w:rFonts w:asciiTheme="majorEastAsia" w:eastAsiaTheme="majorEastAsia" w:hAnsiTheme="majorEastAsia" w:cs="Segoe UI"/>
          <w:color w:val="404040"/>
          <w:sz w:val="24"/>
        </w:rPr>
        <w:t>2019;18:6</w:t>
      </w:r>
      <w:proofErr w:type="gramEnd"/>
      <w:r>
        <w:rPr>
          <w:rFonts w:asciiTheme="majorEastAsia" w:eastAsiaTheme="majorEastAsia" w:hAnsiTheme="majorEastAsia" w:cs="Segoe UI"/>
          <w:color w:val="404040"/>
          <w:sz w:val="24"/>
        </w:rPr>
        <w:t>.</w:t>
      </w:r>
      <w:bookmarkEnd w:id="58"/>
    </w:p>
    <w:p w14:paraId="1465DDFB" w14:textId="77777777" w:rsidR="00B40C2D" w:rsidRDefault="00B40C2D">
      <w:pPr>
        <w:pStyle w:val="ad"/>
        <w:widowControl/>
        <w:numPr>
          <w:ilvl w:val="0"/>
          <w:numId w:val="1"/>
        </w:numPr>
        <w:ind w:firstLineChars="0"/>
        <w:jc w:val="left"/>
        <w:rPr>
          <w:rFonts w:asciiTheme="majorEastAsia" w:eastAsiaTheme="majorEastAsia" w:hAnsiTheme="majorEastAsia" w:cs="Segoe UI" w:hint="eastAsia"/>
          <w:color w:val="404040"/>
          <w:sz w:val="24"/>
        </w:rPr>
      </w:pPr>
      <w:hyperlink r:id="rId20" w:history="1">
        <w:bookmarkStart w:id="59" w:name="_Ref199007253"/>
        <w:r>
          <w:rPr>
            <w:rStyle w:val="aa"/>
            <w:rFonts w:asciiTheme="majorEastAsia" w:eastAsiaTheme="majorEastAsia" w:hAnsiTheme="majorEastAsia" w:cs="Segoe UI"/>
            <w:sz w:val="24"/>
          </w:rPr>
          <w:t>Home | circRNADisease v2.0</w:t>
        </w:r>
        <w:bookmarkEnd w:id="59"/>
      </w:hyperlink>
    </w:p>
    <w:p w14:paraId="2301AE7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0" w:name="_Ref199007582"/>
      <w:r>
        <w:rPr>
          <w:rFonts w:asciiTheme="majorEastAsia" w:eastAsiaTheme="majorEastAsia" w:hAnsiTheme="majorEastAsia" w:cs="Segoe UI"/>
          <w:color w:val="404040"/>
          <w:sz w:val="24"/>
        </w:rPr>
        <w:t>Wei L, Sun J, Zhang N, Zheng Y, Wang X, Lv L, Liu J, Xu Y, Shen Y, Yang M. Noncoding RNAs in gastric cancer: implications for drug resistance. Mol Cancer. 2020;19(1):62. </w:t>
      </w:r>
      <w:hyperlink r:id="rId21" w:history="1">
        <w:r w:rsidR="00B40C2D">
          <w:rPr>
            <w:rStyle w:val="aa"/>
            <w:rFonts w:asciiTheme="majorEastAsia" w:eastAsiaTheme="majorEastAsia" w:hAnsiTheme="majorEastAsia" w:cs="Segoe UI"/>
            <w:sz w:val="24"/>
          </w:rPr>
          <w:t>https://doi.org/10.1186/s12943-020-01185-7</w:t>
        </w:r>
      </w:hyperlink>
      <w:r>
        <w:rPr>
          <w:rFonts w:asciiTheme="majorEastAsia" w:eastAsiaTheme="majorEastAsia" w:hAnsiTheme="majorEastAsia" w:cs="Segoe UI"/>
          <w:color w:val="404040"/>
          <w:sz w:val="24"/>
        </w:rPr>
        <w:t>.</w:t>
      </w:r>
      <w:bookmarkEnd w:id="60"/>
    </w:p>
    <w:p w14:paraId="128FD61E"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1" w:name="_Ref199007621"/>
      <w:r>
        <w:rPr>
          <w:rFonts w:asciiTheme="majorEastAsia" w:eastAsiaTheme="majorEastAsia" w:hAnsiTheme="majorEastAsia" w:cs="Segoe UI"/>
          <w:color w:val="404040"/>
          <w:sz w:val="24"/>
        </w:rPr>
        <w:t>Cui C, Yang J, Li X, Liu D, Fu L, Wang X. Functions and mechanisms of circular RNAs in cancer radiotherapy and chemotherapy resistance. Mol Cancer. 2020;19(1):58. </w:t>
      </w:r>
      <w:hyperlink r:id="rId22" w:history="1">
        <w:r w:rsidR="00B40C2D">
          <w:rPr>
            <w:rStyle w:val="aa"/>
            <w:rFonts w:asciiTheme="majorEastAsia" w:eastAsiaTheme="majorEastAsia" w:hAnsiTheme="majorEastAsia" w:cs="Segoe UI"/>
            <w:sz w:val="24"/>
          </w:rPr>
          <w:t>https://doi.org/10.1186/s12943-020-01180-y</w:t>
        </w:r>
      </w:hyperlink>
      <w:r>
        <w:rPr>
          <w:rFonts w:asciiTheme="majorEastAsia" w:eastAsiaTheme="majorEastAsia" w:hAnsiTheme="majorEastAsia" w:cs="Segoe UI"/>
          <w:color w:val="404040"/>
          <w:sz w:val="24"/>
        </w:rPr>
        <w:t>.</w:t>
      </w:r>
      <w:bookmarkEnd w:id="61"/>
    </w:p>
    <w:p w14:paraId="3315F52C"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2" w:name="_Ref199008164"/>
      <w:r>
        <w:rPr>
          <w:rFonts w:asciiTheme="majorEastAsia" w:eastAsiaTheme="majorEastAsia" w:hAnsiTheme="majorEastAsia" w:cs="Segoe UI"/>
          <w:color w:val="404040"/>
          <w:sz w:val="24"/>
        </w:rPr>
        <w:t>Predicting circRNA-drug sensitivity associations via graph attention auto-encoder</w:t>
      </w:r>
      <w:bookmarkEnd w:id="62"/>
    </w:p>
    <w:p w14:paraId="6C6B5C45"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3" w:name="_Ref199008618"/>
      <w:r>
        <w:rPr>
          <w:rFonts w:asciiTheme="majorEastAsia" w:eastAsiaTheme="majorEastAsia" w:hAnsiTheme="majorEastAsia" w:cs="Segoe UI"/>
          <w:color w:val="404040"/>
          <w:sz w:val="24"/>
        </w:rPr>
        <w:lastRenderedPageBreak/>
        <w:t>Chen Y, Wang Y, Ding Y, Su X, Wang C. RGCNCDA: Relational graph convolutional network improves circRNA</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disease association prediction by incorporating microRNAs. Comput Biol Med. 2022;143: 105322.</w:t>
      </w:r>
      <w:bookmarkEnd w:id="63"/>
    </w:p>
    <w:p w14:paraId="6DBFA140"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4" w:name="_Ref199008699"/>
      <w:r>
        <w:rPr>
          <w:rFonts w:asciiTheme="majorEastAsia" w:eastAsiaTheme="majorEastAsia" w:hAnsiTheme="majorEastAsia" w:cs="Segoe UI"/>
          <w:color w:val="404040"/>
          <w:sz w:val="24"/>
        </w:rPr>
        <w:t>Zhang M, Huang N, Yang X, Luo J, Yan S, Xiao F, Chen W, Gao X, Zhao K, Zhou H, et al. A novel protein encoded by the circular form of the SHPRH gene suppresses glioma tumorigenesis. Oncogene. 2018;37(13):1805–14.</w:t>
      </w:r>
      <w:bookmarkEnd w:id="64"/>
    </w:p>
    <w:p w14:paraId="6B99FA86"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5" w:name="_Ref199008700"/>
      <w:r>
        <w:rPr>
          <w:rFonts w:asciiTheme="majorEastAsia" w:eastAsiaTheme="majorEastAsia" w:hAnsiTheme="majorEastAsia" w:cs="Segoe UI"/>
          <w:color w:val="404040"/>
          <w:sz w:val="24"/>
        </w:rPr>
        <w:t>He W, Shi X, Guo Z, Wang H, Kang M, Lv Z. Circ_0019693 promotes osteogenic differentiation of bone marrow mesenchymal stem cell and enhances osteogenesis</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coupled angiogenesis via regulating microRNA</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942</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5p</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targeted purkinje cell protein 4 in the development of osteoporosis. Bioengineered. 2022;13(2):2181</w:t>
      </w:r>
      <w:r>
        <w:rPr>
          <w:rFonts w:ascii="宋体" w:eastAsia="宋体" w:hAnsi="宋体" w:cs="宋体" w:hint="eastAsia"/>
          <w:color w:val="404040"/>
          <w:sz w:val="24"/>
        </w:rPr>
        <w:t>–</w:t>
      </w:r>
      <w:r>
        <w:rPr>
          <w:rFonts w:asciiTheme="majorEastAsia" w:eastAsiaTheme="majorEastAsia" w:hAnsiTheme="majorEastAsia" w:cs="Segoe UI"/>
          <w:color w:val="404040"/>
          <w:sz w:val="24"/>
        </w:rPr>
        <w:t>93.</w:t>
      </w:r>
      <w:bookmarkEnd w:id="65"/>
    </w:p>
    <w:p w14:paraId="0D2CE4A3"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6" w:name="_Ref199008701"/>
      <w:r>
        <w:rPr>
          <w:rFonts w:asciiTheme="majorEastAsia" w:eastAsiaTheme="majorEastAsia" w:hAnsiTheme="majorEastAsia" w:cs="Segoe UI"/>
          <w:color w:val="404040"/>
          <w:sz w:val="24"/>
        </w:rPr>
        <w:t>Fan X, Yin X, Zhao Q, Yang Y. Hsa_circRNA_0045861 promotes renal injury in ureteropelvic junction obstruction via the microRNA</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181d</w:t>
      </w:r>
      <w:r>
        <w:rPr>
          <w:rFonts w:ascii="Cambria Math" w:eastAsiaTheme="majorEastAsia" w:hAnsi="Cambria Math" w:cs="Cambria Math"/>
          <w:color w:val="404040"/>
          <w:sz w:val="24"/>
        </w:rPr>
        <w:t>‑</w:t>
      </w:r>
      <w:r>
        <w:rPr>
          <w:rFonts w:asciiTheme="majorEastAsia" w:eastAsiaTheme="majorEastAsia" w:hAnsiTheme="majorEastAsia" w:cs="Segoe UI"/>
          <w:color w:val="404040"/>
          <w:sz w:val="24"/>
        </w:rPr>
        <w:t>5p/sirtuin 1 signaling axis. Ann Transl Med. 2021;9(20):1571</w:t>
      </w:r>
      <w:bookmarkEnd w:id="66"/>
    </w:p>
    <w:p w14:paraId="0E4C01BB"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7" w:name="_Ref199334051"/>
      <w:r>
        <w:rPr>
          <w:rFonts w:asciiTheme="majorEastAsia" w:eastAsiaTheme="majorEastAsia" w:hAnsiTheme="majorEastAsia" w:cs="Segoe UI"/>
          <w:color w:val="404040"/>
          <w:sz w:val="24"/>
        </w:rPr>
        <w:t xml:space="preserve">Grover A, Leskovec J. node2vec: scalable feature learning for networks. </w:t>
      </w:r>
      <w:r>
        <w:rPr>
          <w:rFonts w:asciiTheme="majorEastAsia" w:eastAsiaTheme="majorEastAsia" w:hAnsiTheme="majorEastAsia" w:cs="Segoe UI"/>
          <w:i/>
          <w:iCs/>
          <w:color w:val="404040"/>
          <w:sz w:val="24"/>
        </w:rPr>
        <w:t xml:space="preserve">KDD </w:t>
      </w:r>
      <w:proofErr w:type="gramStart"/>
      <w:r>
        <w:rPr>
          <w:rFonts w:asciiTheme="majorEastAsia" w:eastAsiaTheme="majorEastAsia" w:hAnsiTheme="majorEastAsia" w:cs="Segoe UI"/>
          <w:color w:val="404040"/>
          <w:sz w:val="24"/>
        </w:rPr>
        <w:t>2016;</w:t>
      </w:r>
      <w:r>
        <w:rPr>
          <w:rFonts w:asciiTheme="majorEastAsia" w:eastAsiaTheme="majorEastAsia" w:hAnsiTheme="majorEastAsia" w:cs="Segoe UI"/>
          <w:b/>
          <w:bCs/>
          <w:color w:val="404040"/>
          <w:sz w:val="24"/>
        </w:rPr>
        <w:t>2016</w:t>
      </w:r>
      <w:r>
        <w:rPr>
          <w:rFonts w:asciiTheme="majorEastAsia" w:eastAsiaTheme="majorEastAsia" w:hAnsiTheme="majorEastAsia" w:cs="Segoe UI"/>
          <w:color w:val="404040"/>
          <w:sz w:val="24"/>
        </w:rPr>
        <w:t>:855</w:t>
      </w:r>
      <w:proofErr w:type="gramEnd"/>
      <w:r>
        <w:rPr>
          <w:rFonts w:asciiTheme="majorEastAsia" w:eastAsiaTheme="majorEastAsia" w:hAnsiTheme="majorEastAsia" w:cs="Segoe UI"/>
          <w:color w:val="404040"/>
          <w:sz w:val="24"/>
        </w:rPr>
        <w:t>–64.</w:t>
      </w:r>
      <w:bookmarkEnd w:id="67"/>
    </w:p>
    <w:p w14:paraId="14EB2579"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8" w:name="_Ref199334755"/>
      <w:r>
        <w:rPr>
          <w:rFonts w:asciiTheme="majorEastAsia" w:eastAsiaTheme="majorEastAsia" w:hAnsiTheme="majorEastAsia" w:cs="Segoe UI"/>
          <w:color w:val="404040"/>
          <w:sz w:val="24"/>
        </w:rPr>
        <w:t xml:space="preserve">Kipf TN, Welling M. </w:t>
      </w:r>
      <w:r>
        <w:rPr>
          <w:rFonts w:asciiTheme="majorEastAsia" w:eastAsiaTheme="majorEastAsia" w:hAnsiTheme="majorEastAsia" w:cs="Segoe UI"/>
          <w:i/>
          <w:iCs/>
          <w:color w:val="404040"/>
          <w:sz w:val="24"/>
        </w:rPr>
        <w:t>Semi-supervised classification with graph con-volutional networks</w:t>
      </w:r>
      <w:r>
        <w:rPr>
          <w:rFonts w:asciiTheme="majorEastAsia" w:eastAsiaTheme="majorEastAsia" w:hAnsiTheme="majorEastAsia" w:cs="Segoe UI"/>
          <w:color w:val="404040"/>
          <w:sz w:val="24"/>
        </w:rPr>
        <w:t>. arXiv preprint arXiv:1609.029072016.</w:t>
      </w:r>
      <w:bookmarkEnd w:id="68"/>
    </w:p>
    <w:p w14:paraId="1C0951D3"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69" w:name="_Ref199334791"/>
      <w:r>
        <w:rPr>
          <w:rFonts w:asciiTheme="majorEastAsia" w:eastAsiaTheme="majorEastAsia" w:hAnsiTheme="majorEastAsia" w:cs="Segoe UI"/>
          <w:color w:val="404040"/>
          <w:sz w:val="24"/>
        </w:rPr>
        <w:t>Salehi A, Davulcu H. Graph attention auto-encoders. arXiv preprint. 2019</w:t>
      </w:r>
    </w:p>
    <w:p w14:paraId="2C94CE57"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70" w:name="_Ref199444294"/>
      <w:r>
        <w:rPr>
          <w:rFonts w:asciiTheme="majorEastAsia" w:eastAsiaTheme="majorEastAsia" w:hAnsiTheme="majorEastAsia" w:cs="Segoe UI"/>
          <w:color w:val="404040"/>
          <w:sz w:val="24"/>
        </w:rPr>
        <w:t>Kingma DP, Ba J. Adam: A method for stochastic optimization. Louisiana, USA: International Conference on Learning Representations, 2019.</w:t>
      </w:r>
      <w:bookmarkEnd w:id="70"/>
    </w:p>
    <w:p w14:paraId="63BCAC68" w14:textId="77777777" w:rsidR="00B40C2D" w:rsidRDefault="00000000">
      <w:pPr>
        <w:pStyle w:val="ad"/>
        <w:widowControl/>
        <w:numPr>
          <w:ilvl w:val="0"/>
          <w:numId w:val="1"/>
        </w:numPr>
        <w:ind w:firstLineChars="0"/>
        <w:jc w:val="left"/>
        <w:rPr>
          <w:rFonts w:asciiTheme="majorEastAsia" w:eastAsiaTheme="majorEastAsia" w:hAnsiTheme="majorEastAsia" w:cs="Segoe UI" w:hint="eastAsia"/>
          <w:color w:val="404040"/>
          <w:sz w:val="24"/>
        </w:rPr>
      </w:pPr>
      <w:bookmarkStart w:id="71" w:name="_Ref199444300"/>
      <w:r>
        <w:rPr>
          <w:rFonts w:asciiTheme="majorEastAsia" w:eastAsiaTheme="majorEastAsia" w:hAnsiTheme="majorEastAsia" w:cs="Segoe UI"/>
          <w:color w:val="404040"/>
          <w:sz w:val="24"/>
        </w:rPr>
        <w:t xml:space="preserve">Pedregosa F, Varoquaux G, Gramfort A. et al. Scikit-learn: machine learning in python. J Mach Learn Res </w:t>
      </w:r>
      <w:proofErr w:type="gramStart"/>
      <w:r>
        <w:rPr>
          <w:rFonts w:asciiTheme="majorEastAsia" w:eastAsiaTheme="majorEastAsia" w:hAnsiTheme="majorEastAsia" w:cs="Segoe UI"/>
          <w:color w:val="404040"/>
          <w:sz w:val="24"/>
        </w:rPr>
        <w:t>2011;12:2825</w:t>
      </w:r>
      <w:proofErr w:type="gramEnd"/>
      <w:r>
        <w:rPr>
          <w:rFonts w:asciiTheme="majorEastAsia" w:eastAsiaTheme="majorEastAsia" w:hAnsiTheme="majorEastAsia" w:cs="Segoe UI"/>
          <w:color w:val="404040"/>
          <w:sz w:val="24"/>
        </w:rPr>
        <w:t>–</w:t>
      </w:r>
      <w:proofErr w:type="gramStart"/>
      <w:r>
        <w:rPr>
          <w:rFonts w:asciiTheme="majorEastAsia" w:eastAsiaTheme="majorEastAsia" w:hAnsiTheme="majorEastAsia" w:cs="Segoe UI"/>
          <w:color w:val="404040"/>
          <w:sz w:val="24"/>
        </w:rPr>
        <w:t>30..</w:t>
      </w:r>
      <w:bookmarkEnd w:id="71"/>
      <w:proofErr w:type="gramEnd"/>
    </w:p>
    <w:bookmarkEnd w:id="69"/>
    <w:p w14:paraId="582EF296" w14:textId="77777777" w:rsidR="00B40C2D" w:rsidRDefault="00B40C2D">
      <w:pPr>
        <w:widowControl/>
        <w:jc w:val="left"/>
        <w:rPr>
          <w:rFonts w:asciiTheme="majorEastAsia" w:eastAsiaTheme="majorEastAsia" w:hAnsiTheme="majorEastAsia" w:cs="Segoe UI" w:hint="eastAsia"/>
          <w:color w:val="404040"/>
          <w:sz w:val="24"/>
        </w:rPr>
      </w:pPr>
    </w:p>
    <w:p w14:paraId="1C1D5869" w14:textId="77777777" w:rsidR="00B40C2D" w:rsidRDefault="00B40C2D">
      <w:pPr>
        <w:widowControl/>
        <w:jc w:val="left"/>
        <w:rPr>
          <w:rFonts w:asciiTheme="majorEastAsia" w:eastAsiaTheme="majorEastAsia" w:hAnsiTheme="majorEastAsia" w:cs="Segoe UI" w:hint="eastAsia"/>
          <w:color w:val="404040"/>
          <w:sz w:val="24"/>
        </w:rPr>
      </w:pPr>
    </w:p>
    <w:p w14:paraId="2CD5678C" w14:textId="77777777" w:rsidR="00B40C2D" w:rsidRDefault="00B40C2D">
      <w:pPr>
        <w:widowControl/>
        <w:jc w:val="left"/>
        <w:rPr>
          <w:rFonts w:asciiTheme="majorEastAsia" w:eastAsiaTheme="majorEastAsia" w:hAnsiTheme="majorEastAsia" w:cs="Segoe UI" w:hint="eastAsia"/>
          <w:color w:val="404040"/>
          <w:sz w:val="24"/>
        </w:rPr>
      </w:pPr>
    </w:p>
    <w:p w14:paraId="11F23091" w14:textId="77777777" w:rsidR="00B40C2D" w:rsidRDefault="00B40C2D">
      <w:pPr>
        <w:widowControl/>
        <w:jc w:val="left"/>
        <w:rPr>
          <w:rFonts w:asciiTheme="majorEastAsia" w:eastAsiaTheme="majorEastAsia" w:hAnsiTheme="majorEastAsia" w:cs="Segoe UI" w:hint="eastAsia"/>
          <w:color w:val="404040"/>
          <w:sz w:val="24"/>
        </w:rPr>
      </w:pPr>
    </w:p>
    <w:p w14:paraId="133DE1D3" w14:textId="77777777" w:rsidR="00B40C2D" w:rsidRDefault="00B40C2D">
      <w:pPr>
        <w:widowControl/>
        <w:jc w:val="left"/>
        <w:rPr>
          <w:rFonts w:asciiTheme="majorEastAsia" w:eastAsiaTheme="majorEastAsia" w:hAnsiTheme="majorEastAsia" w:cs="Segoe UI" w:hint="eastAsia"/>
          <w:color w:val="404040"/>
          <w:sz w:val="24"/>
        </w:rPr>
      </w:pPr>
    </w:p>
    <w:p w14:paraId="480D2981" w14:textId="77777777" w:rsidR="00B40C2D" w:rsidRDefault="00B40C2D">
      <w:pPr>
        <w:widowControl/>
        <w:jc w:val="left"/>
        <w:rPr>
          <w:rFonts w:asciiTheme="majorEastAsia" w:eastAsiaTheme="majorEastAsia" w:hAnsiTheme="majorEastAsia" w:cs="Segoe UI" w:hint="eastAsia"/>
          <w:color w:val="404040"/>
          <w:sz w:val="24"/>
        </w:rPr>
      </w:pPr>
    </w:p>
    <w:p w14:paraId="3BFE0923" w14:textId="77777777" w:rsidR="00B40C2D" w:rsidRDefault="00B40C2D">
      <w:pPr>
        <w:widowControl/>
        <w:jc w:val="left"/>
        <w:rPr>
          <w:rFonts w:asciiTheme="majorEastAsia" w:eastAsiaTheme="majorEastAsia" w:hAnsiTheme="majorEastAsia" w:cs="Segoe UI" w:hint="eastAsia"/>
          <w:color w:val="404040"/>
          <w:sz w:val="24"/>
        </w:rPr>
      </w:pPr>
    </w:p>
    <w:sectPr w:rsidR="00B40C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C5878"/>
    <w:multiLevelType w:val="multilevel"/>
    <w:tmpl w:val="981E3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B3A56"/>
    <w:multiLevelType w:val="multilevel"/>
    <w:tmpl w:val="4834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F732F"/>
    <w:multiLevelType w:val="multilevel"/>
    <w:tmpl w:val="4CBF732F"/>
    <w:lvl w:ilvl="0">
      <w:start w:val="1"/>
      <w:numFmt w:val="decimal"/>
      <w:lvlText w:val="[%1]"/>
      <w:lvlJc w:val="left"/>
      <w:pPr>
        <w:ind w:left="920" w:hanging="440"/>
      </w:pPr>
      <w:rPr>
        <w:rFonts w:hint="eastAsia"/>
      </w:r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num w:numId="1" w16cid:durableId="1200967881">
    <w:abstractNumId w:val="2"/>
  </w:num>
  <w:num w:numId="2" w16cid:durableId="465007797">
    <w:abstractNumId w:val="0"/>
  </w:num>
  <w:num w:numId="3" w16cid:durableId="73354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6E5DD6"/>
    <w:rsid w:val="000049AC"/>
    <w:rsid w:val="0002240D"/>
    <w:rsid w:val="000357BF"/>
    <w:rsid w:val="000401D1"/>
    <w:rsid w:val="00053054"/>
    <w:rsid w:val="00055CDE"/>
    <w:rsid w:val="000563BE"/>
    <w:rsid w:val="00056AD2"/>
    <w:rsid w:val="00075F83"/>
    <w:rsid w:val="00086C8E"/>
    <w:rsid w:val="000C5584"/>
    <w:rsid w:val="000D3900"/>
    <w:rsid w:val="000E1C06"/>
    <w:rsid w:val="000E5322"/>
    <w:rsid w:val="000E76CE"/>
    <w:rsid w:val="000E7B7A"/>
    <w:rsid w:val="000F5159"/>
    <w:rsid w:val="00101E49"/>
    <w:rsid w:val="00101F04"/>
    <w:rsid w:val="001062EE"/>
    <w:rsid w:val="0013125E"/>
    <w:rsid w:val="00142476"/>
    <w:rsid w:val="00147139"/>
    <w:rsid w:val="001609F2"/>
    <w:rsid w:val="001817F3"/>
    <w:rsid w:val="001C5C74"/>
    <w:rsid w:val="001D4462"/>
    <w:rsid w:val="001D65CA"/>
    <w:rsid w:val="001F1B95"/>
    <w:rsid w:val="001F5EC1"/>
    <w:rsid w:val="00212BB4"/>
    <w:rsid w:val="00226657"/>
    <w:rsid w:val="00233500"/>
    <w:rsid w:val="00241378"/>
    <w:rsid w:val="00251D07"/>
    <w:rsid w:val="00272731"/>
    <w:rsid w:val="002767CF"/>
    <w:rsid w:val="00287D6E"/>
    <w:rsid w:val="002A7BBA"/>
    <w:rsid w:val="002E5751"/>
    <w:rsid w:val="002E5DB5"/>
    <w:rsid w:val="002F4011"/>
    <w:rsid w:val="002F56CA"/>
    <w:rsid w:val="00301F7E"/>
    <w:rsid w:val="0032072F"/>
    <w:rsid w:val="00330E57"/>
    <w:rsid w:val="00337501"/>
    <w:rsid w:val="003425F4"/>
    <w:rsid w:val="00350D1D"/>
    <w:rsid w:val="00356B30"/>
    <w:rsid w:val="00361C9A"/>
    <w:rsid w:val="0039005B"/>
    <w:rsid w:val="003A42AB"/>
    <w:rsid w:val="003B62D4"/>
    <w:rsid w:val="003C4D36"/>
    <w:rsid w:val="003D3E11"/>
    <w:rsid w:val="0040321C"/>
    <w:rsid w:val="00404A74"/>
    <w:rsid w:val="00417A2C"/>
    <w:rsid w:val="00425F5E"/>
    <w:rsid w:val="00437D00"/>
    <w:rsid w:val="00442CA0"/>
    <w:rsid w:val="00445595"/>
    <w:rsid w:val="0045021B"/>
    <w:rsid w:val="00451319"/>
    <w:rsid w:val="004665D0"/>
    <w:rsid w:val="00491171"/>
    <w:rsid w:val="00497ADF"/>
    <w:rsid w:val="004A2EB4"/>
    <w:rsid w:val="004B0C03"/>
    <w:rsid w:val="004B0CEB"/>
    <w:rsid w:val="004C0F89"/>
    <w:rsid w:val="004F04CB"/>
    <w:rsid w:val="00513F93"/>
    <w:rsid w:val="00514E0F"/>
    <w:rsid w:val="00517C31"/>
    <w:rsid w:val="0052131E"/>
    <w:rsid w:val="0053110E"/>
    <w:rsid w:val="00550DC0"/>
    <w:rsid w:val="00561BA4"/>
    <w:rsid w:val="00567935"/>
    <w:rsid w:val="00572ED5"/>
    <w:rsid w:val="00584EE9"/>
    <w:rsid w:val="005960ED"/>
    <w:rsid w:val="005A1011"/>
    <w:rsid w:val="005B3FCC"/>
    <w:rsid w:val="005D3031"/>
    <w:rsid w:val="005F2CA9"/>
    <w:rsid w:val="00607296"/>
    <w:rsid w:val="00614158"/>
    <w:rsid w:val="00622E1C"/>
    <w:rsid w:val="00635CF8"/>
    <w:rsid w:val="0064525F"/>
    <w:rsid w:val="006469D0"/>
    <w:rsid w:val="00657BB2"/>
    <w:rsid w:val="0066220A"/>
    <w:rsid w:val="00663685"/>
    <w:rsid w:val="00676494"/>
    <w:rsid w:val="006808A1"/>
    <w:rsid w:val="00681BAD"/>
    <w:rsid w:val="00683561"/>
    <w:rsid w:val="006C03AB"/>
    <w:rsid w:val="006C283C"/>
    <w:rsid w:val="006C5DCE"/>
    <w:rsid w:val="006D1683"/>
    <w:rsid w:val="006E2453"/>
    <w:rsid w:val="006E5DD6"/>
    <w:rsid w:val="00700D7F"/>
    <w:rsid w:val="00726602"/>
    <w:rsid w:val="00730837"/>
    <w:rsid w:val="00745B25"/>
    <w:rsid w:val="007743B0"/>
    <w:rsid w:val="00783726"/>
    <w:rsid w:val="00793C93"/>
    <w:rsid w:val="00796D23"/>
    <w:rsid w:val="007A73AF"/>
    <w:rsid w:val="007C6966"/>
    <w:rsid w:val="007D64DA"/>
    <w:rsid w:val="007E202C"/>
    <w:rsid w:val="007F62B7"/>
    <w:rsid w:val="008035B5"/>
    <w:rsid w:val="00810B39"/>
    <w:rsid w:val="00831188"/>
    <w:rsid w:val="008407B2"/>
    <w:rsid w:val="00844211"/>
    <w:rsid w:val="00884B3F"/>
    <w:rsid w:val="00885CCF"/>
    <w:rsid w:val="008970C1"/>
    <w:rsid w:val="008A1613"/>
    <w:rsid w:val="008A7621"/>
    <w:rsid w:val="008A7E26"/>
    <w:rsid w:val="008B3FA4"/>
    <w:rsid w:val="008C6C70"/>
    <w:rsid w:val="008E3DC7"/>
    <w:rsid w:val="008E4CC9"/>
    <w:rsid w:val="008E595B"/>
    <w:rsid w:val="008E5E75"/>
    <w:rsid w:val="008F5276"/>
    <w:rsid w:val="00900758"/>
    <w:rsid w:val="009331DD"/>
    <w:rsid w:val="009417FE"/>
    <w:rsid w:val="00946BD0"/>
    <w:rsid w:val="00956CD1"/>
    <w:rsid w:val="009A1966"/>
    <w:rsid w:val="009B1FA5"/>
    <w:rsid w:val="009B3571"/>
    <w:rsid w:val="009D3654"/>
    <w:rsid w:val="009E0D21"/>
    <w:rsid w:val="009E572E"/>
    <w:rsid w:val="00A05E98"/>
    <w:rsid w:val="00A06AEF"/>
    <w:rsid w:val="00A06FB7"/>
    <w:rsid w:val="00A075B2"/>
    <w:rsid w:val="00A07A5C"/>
    <w:rsid w:val="00A11CAF"/>
    <w:rsid w:val="00A264D2"/>
    <w:rsid w:val="00A3103A"/>
    <w:rsid w:val="00A36DE6"/>
    <w:rsid w:val="00A4134D"/>
    <w:rsid w:val="00A51BA2"/>
    <w:rsid w:val="00A55C77"/>
    <w:rsid w:val="00A5673A"/>
    <w:rsid w:val="00A80852"/>
    <w:rsid w:val="00AB5A8F"/>
    <w:rsid w:val="00AC00A2"/>
    <w:rsid w:val="00AC02F9"/>
    <w:rsid w:val="00AC1D70"/>
    <w:rsid w:val="00AD0B41"/>
    <w:rsid w:val="00AD74D7"/>
    <w:rsid w:val="00AE3BE5"/>
    <w:rsid w:val="00AE774E"/>
    <w:rsid w:val="00AF20EA"/>
    <w:rsid w:val="00B02574"/>
    <w:rsid w:val="00B1151D"/>
    <w:rsid w:val="00B11B86"/>
    <w:rsid w:val="00B14758"/>
    <w:rsid w:val="00B317C9"/>
    <w:rsid w:val="00B40C2D"/>
    <w:rsid w:val="00B40DD1"/>
    <w:rsid w:val="00B41FC4"/>
    <w:rsid w:val="00B42A64"/>
    <w:rsid w:val="00B51D11"/>
    <w:rsid w:val="00B77A66"/>
    <w:rsid w:val="00B82B8E"/>
    <w:rsid w:val="00B93D6A"/>
    <w:rsid w:val="00BC0333"/>
    <w:rsid w:val="00BD14DB"/>
    <w:rsid w:val="00BD3C37"/>
    <w:rsid w:val="00BD5D6A"/>
    <w:rsid w:val="00BE45F2"/>
    <w:rsid w:val="00BE72A0"/>
    <w:rsid w:val="00BF7AE2"/>
    <w:rsid w:val="00C21515"/>
    <w:rsid w:val="00C21520"/>
    <w:rsid w:val="00C33422"/>
    <w:rsid w:val="00C512D8"/>
    <w:rsid w:val="00C62051"/>
    <w:rsid w:val="00C63CAE"/>
    <w:rsid w:val="00C64379"/>
    <w:rsid w:val="00C704BC"/>
    <w:rsid w:val="00C77E09"/>
    <w:rsid w:val="00C90FB7"/>
    <w:rsid w:val="00C969C4"/>
    <w:rsid w:val="00CA0F45"/>
    <w:rsid w:val="00CD638F"/>
    <w:rsid w:val="00CE1E8B"/>
    <w:rsid w:val="00CE5713"/>
    <w:rsid w:val="00CE5AE4"/>
    <w:rsid w:val="00D04059"/>
    <w:rsid w:val="00D1072E"/>
    <w:rsid w:val="00D34C9E"/>
    <w:rsid w:val="00D43668"/>
    <w:rsid w:val="00D442C0"/>
    <w:rsid w:val="00D46155"/>
    <w:rsid w:val="00D523AA"/>
    <w:rsid w:val="00D6761C"/>
    <w:rsid w:val="00D82497"/>
    <w:rsid w:val="00D842A9"/>
    <w:rsid w:val="00D86CEF"/>
    <w:rsid w:val="00D87C47"/>
    <w:rsid w:val="00DB5049"/>
    <w:rsid w:val="00DB7C26"/>
    <w:rsid w:val="00DC0883"/>
    <w:rsid w:val="00DC1499"/>
    <w:rsid w:val="00DE2DEB"/>
    <w:rsid w:val="00DE35CC"/>
    <w:rsid w:val="00DE3EF2"/>
    <w:rsid w:val="00E10B2E"/>
    <w:rsid w:val="00E20B05"/>
    <w:rsid w:val="00E40AB1"/>
    <w:rsid w:val="00E505C1"/>
    <w:rsid w:val="00E51E3A"/>
    <w:rsid w:val="00E650B1"/>
    <w:rsid w:val="00E66B00"/>
    <w:rsid w:val="00E66C2B"/>
    <w:rsid w:val="00E6746F"/>
    <w:rsid w:val="00E71896"/>
    <w:rsid w:val="00E730C8"/>
    <w:rsid w:val="00E90B8D"/>
    <w:rsid w:val="00E91B08"/>
    <w:rsid w:val="00E97B22"/>
    <w:rsid w:val="00EA48B9"/>
    <w:rsid w:val="00EA6DF5"/>
    <w:rsid w:val="00EC7E46"/>
    <w:rsid w:val="00EF001C"/>
    <w:rsid w:val="00EF37DE"/>
    <w:rsid w:val="00EF5B10"/>
    <w:rsid w:val="00F14436"/>
    <w:rsid w:val="00F35F38"/>
    <w:rsid w:val="00F36954"/>
    <w:rsid w:val="00F37477"/>
    <w:rsid w:val="00F515CA"/>
    <w:rsid w:val="00F53D0C"/>
    <w:rsid w:val="00F62A14"/>
    <w:rsid w:val="00F62A4A"/>
    <w:rsid w:val="00F637FE"/>
    <w:rsid w:val="00F91A4E"/>
    <w:rsid w:val="00F966A8"/>
    <w:rsid w:val="00FE127A"/>
    <w:rsid w:val="00FF699A"/>
    <w:rsid w:val="21504A29"/>
    <w:rsid w:val="22525B39"/>
    <w:rsid w:val="274C6FFB"/>
    <w:rsid w:val="2BF043F9"/>
    <w:rsid w:val="2EF13F17"/>
    <w:rsid w:val="5FA80312"/>
    <w:rsid w:val="643A1A13"/>
    <w:rsid w:val="73EF00BF"/>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DFA48"/>
  <w15:docId w15:val="{D41BD46F-7281-4994-AAE4-8AD7064A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uto"/>
      <w:outlineLvl w:val="4"/>
    </w:pPr>
    <w:rPr>
      <w:b/>
      <w:bCs/>
      <w:sz w:val="28"/>
      <w:szCs w:val="28"/>
    </w:rPr>
  </w:style>
  <w:style w:type="paragraph" w:styleId="6">
    <w:name w:val="heading 6"/>
    <w:basedOn w:val="a"/>
    <w:next w:val="a"/>
    <w:link w:val="60"/>
    <w:unhideWhenUsed/>
    <w:qFormat/>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pPr>
      <w:keepNext/>
      <w:keepLines/>
      <w:spacing w:before="240" w:after="64" w:line="320" w:lineRule="auto"/>
      <w:outlineLvl w:val="6"/>
    </w:pPr>
    <w:rPr>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Theme="majorHAnsi" w:eastAsia="黑体" w:hAnsiTheme="majorHAnsi" w:cstheme="majorBidi"/>
      <w:sz w:val="22"/>
      <w:szCs w:val="20"/>
    </w:rPr>
  </w:style>
  <w:style w:type="paragraph" w:styleId="a4">
    <w:name w:val="annotation text"/>
    <w:basedOn w:val="a"/>
    <w:link w:val="a5"/>
    <w:pPr>
      <w:jc w:val="left"/>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6">
    <w:name w:val="Normal (Web)"/>
    <w:basedOn w:val="a"/>
    <w:qFormat/>
    <w:pPr>
      <w:spacing w:beforeAutospacing="1" w:afterAutospacing="1"/>
      <w:jc w:val="left"/>
    </w:pPr>
    <w:rPr>
      <w:rFonts w:cs="Times New Roman"/>
      <w:kern w:val="0"/>
      <w:sz w:val="24"/>
    </w:rPr>
  </w:style>
  <w:style w:type="paragraph" w:styleId="a7">
    <w:name w:val="annotation subject"/>
    <w:basedOn w:val="a4"/>
    <w:next w:val="a4"/>
    <w:link w:val="a8"/>
    <w:rPr>
      <w:b/>
      <w:bCs/>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rPr>
      <w:color w:val="0026E5" w:themeColor="hyperlink"/>
      <w:u w:val="single"/>
    </w:rPr>
  </w:style>
  <w:style w:type="character" w:styleId="ab">
    <w:name w:val="annotation reference"/>
    <w:basedOn w:val="a0"/>
    <w:rPr>
      <w:sz w:val="21"/>
      <w:szCs w:val="21"/>
    </w:rPr>
  </w:style>
  <w:style w:type="character" w:customStyle="1" w:styleId="10">
    <w:name w:val="标题 1 字符"/>
    <w:basedOn w:val="a0"/>
    <w:link w:val="1"/>
    <w:qFormat/>
    <w:rPr>
      <w:rFonts w:asciiTheme="minorHAnsi" w:eastAsiaTheme="minorEastAsia" w:hAnsiTheme="minorHAnsi" w:cstheme="minorBidi"/>
      <w:b/>
      <w:bCs/>
      <w:kern w:val="44"/>
      <w:sz w:val="44"/>
      <w:szCs w:val="44"/>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styleId="ac">
    <w:name w:val="Placeholder Text"/>
    <w:basedOn w:val="a0"/>
    <w:uiPriority w:val="99"/>
    <w:unhideWhenUsed/>
    <w:rPr>
      <w:color w:val="666666"/>
    </w:rPr>
  </w:style>
  <w:style w:type="character" w:customStyle="1" w:styleId="50">
    <w:name w:val="标题 5 字符"/>
    <w:basedOn w:val="a0"/>
    <w:link w:val="5"/>
    <w:rPr>
      <w:rFonts w:asciiTheme="minorHAnsi" w:eastAsiaTheme="minorEastAsia" w:hAnsiTheme="minorHAnsi" w:cstheme="minorBidi"/>
      <w:b/>
      <w:bCs/>
      <w:kern w:val="2"/>
      <w:sz w:val="28"/>
      <w:szCs w:val="28"/>
    </w:rPr>
  </w:style>
  <w:style w:type="character" w:customStyle="1" w:styleId="60">
    <w:name w:val="标题 6 字符"/>
    <w:basedOn w:val="a0"/>
    <w:link w:val="6"/>
    <w:qFormat/>
    <w:rPr>
      <w:rFonts w:asciiTheme="majorHAnsi" w:eastAsiaTheme="majorEastAsia" w:hAnsiTheme="majorHAnsi" w:cstheme="majorBidi"/>
      <w:b/>
      <w:bCs/>
      <w:kern w:val="2"/>
      <w:sz w:val="24"/>
      <w:szCs w:val="24"/>
    </w:rPr>
  </w:style>
  <w:style w:type="character" w:customStyle="1" w:styleId="70">
    <w:name w:val="标题 7 字符"/>
    <w:basedOn w:val="a0"/>
    <w:link w:val="7"/>
    <w:qFormat/>
    <w:rPr>
      <w:rFonts w:asciiTheme="minorHAnsi" w:eastAsiaTheme="minorEastAsia" w:hAnsiTheme="minorHAnsi" w:cstheme="minorBidi"/>
      <w:b/>
      <w:bCs/>
      <w:kern w:val="2"/>
      <w:sz w:val="24"/>
      <w:szCs w:val="24"/>
    </w:rPr>
  </w:style>
  <w:style w:type="character" w:customStyle="1" w:styleId="80">
    <w:name w:val="标题 8 字符"/>
    <w:basedOn w:val="a0"/>
    <w:link w:val="8"/>
    <w:rPr>
      <w:rFonts w:asciiTheme="majorHAnsi" w:eastAsiaTheme="majorEastAsia" w:hAnsiTheme="majorHAnsi" w:cstheme="majorBidi"/>
      <w:kern w:val="2"/>
      <w:sz w:val="24"/>
      <w:szCs w:val="24"/>
    </w:rPr>
  </w:style>
  <w:style w:type="character" w:customStyle="1" w:styleId="90">
    <w:name w:val="标题 9 字符"/>
    <w:basedOn w:val="a0"/>
    <w:link w:val="9"/>
    <w:rPr>
      <w:rFonts w:asciiTheme="majorHAnsi" w:eastAsiaTheme="majorEastAsia" w:hAnsiTheme="majorHAnsi" w:cstheme="majorBidi"/>
      <w:kern w:val="2"/>
      <w:sz w:val="21"/>
      <w:szCs w:val="21"/>
    </w:rPr>
  </w:style>
  <w:style w:type="paragraph" w:styleId="ad">
    <w:name w:val="List Paragraph"/>
    <w:basedOn w:val="a"/>
    <w:uiPriority w:val="99"/>
    <w:unhideWhenUsed/>
    <w:pPr>
      <w:ind w:firstLineChars="200" w:firstLine="420"/>
    </w:p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批注文字 字符"/>
    <w:basedOn w:val="a0"/>
    <w:link w:val="a4"/>
    <w:rPr>
      <w:rFonts w:asciiTheme="minorHAnsi" w:eastAsiaTheme="minorEastAsia" w:hAnsiTheme="minorHAnsi" w:cstheme="minorBidi"/>
      <w:kern w:val="2"/>
      <w:sz w:val="21"/>
      <w:szCs w:val="24"/>
    </w:rPr>
  </w:style>
  <w:style w:type="character" w:customStyle="1" w:styleId="a8">
    <w:name w:val="批注主题 字符"/>
    <w:basedOn w:val="a5"/>
    <w:link w:val="a7"/>
    <w:rPr>
      <w:rFonts w:asciiTheme="minorHAnsi" w:eastAsiaTheme="minorEastAsia" w:hAnsiTheme="minorHAnsi" w:cstheme="minorBidi"/>
      <w:b/>
      <w:bCs/>
      <w:kern w:val="2"/>
      <w:sz w:val="21"/>
      <w:szCs w:val="24"/>
    </w:rPr>
  </w:style>
  <w:style w:type="table" w:customStyle="1" w:styleId="ae">
    <w:name w:val="三线表"/>
    <w:basedOn w:val="a1"/>
    <w:uiPriority w:val="99"/>
    <w:rPr>
      <w:sz w:val="21"/>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table" w:customStyle="1" w:styleId="12">
    <w:name w:val="网格型浅色1"/>
    <w:basedOn w:val="a1"/>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
    <w:name w:val="Unresolved Mention"/>
    <w:basedOn w:val="a0"/>
    <w:uiPriority w:val="99"/>
    <w:semiHidden/>
    <w:unhideWhenUsed/>
    <w:rsid w:val="00A80852"/>
    <w:rPr>
      <w:color w:val="605E5C"/>
      <w:shd w:val="clear" w:color="auto" w:fill="E1DFDD"/>
    </w:rPr>
  </w:style>
  <w:style w:type="character" w:styleId="af0">
    <w:name w:val="FollowedHyperlink"/>
    <w:basedOn w:val="a0"/>
    <w:rsid w:val="00CE1E8B"/>
    <w:rPr>
      <w:color w:val="7E1FA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2555">
      <w:bodyDiv w:val="1"/>
      <w:marLeft w:val="0"/>
      <w:marRight w:val="0"/>
      <w:marTop w:val="0"/>
      <w:marBottom w:val="0"/>
      <w:divBdr>
        <w:top w:val="none" w:sz="0" w:space="0" w:color="auto"/>
        <w:left w:val="none" w:sz="0" w:space="0" w:color="auto"/>
        <w:bottom w:val="none" w:sz="0" w:space="0" w:color="auto"/>
        <w:right w:val="none" w:sz="0" w:space="0" w:color="auto"/>
      </w:divBdr>
    </w:div>
    <w:div w:id="158663325">
      <w:bodyDiv w:val="1"/>
      <w:marLeft w:val="0"/>
      <w:marRight w:val="0"/>
      <w:marTop w:val="0"/>
      <w:marBottom w:val="0"/>
      <w:divBdr>
        <w:top w:val="none" w:sz="0" w:space="0" w:color="auto"/>
        <w:left w:val="none" w:sz="0" w:space="0" w:color="auto"/>
        <w:bottom w:val="none" w:sz="0" w:space="0" w:color="auto"/>
        <w:right w:val="none" w:sz="0" w:space="0" w:color="auto"/>
      </w:divBdr>
    </w:div>
    <w:div w:id="177275620">
      <w:bodyDiv w:val="1"/>
      <w:marLeft w:val="0"/>
      <w:marRight w:val="0"/>
      <w:marTop w:val="0"/>
      <w:marBottom w:val="0"/>
      <w:divBdr>
        <w:top w:val="none" w:sz="0" w:space="0" w:color="auto"/>
        <w:left w:val="none" w:sz="0" w:space="0" w:color="auto"/>
        <w:bottom w:val="none" w:sz="0" w:space="0" w:color="auto"/>
        <w:right w:val="none" w:sz="0" w:space="0" w:color="auto"/>
      </w:divBdr>
    </w:div>
    <w:div w:id="370149142">
      <w:bodyDiv w:val="1"/>
      <w:marLeft w:val="0"/>
      <w:marRight w:val="0"/>
      <w:marTop w:val="0"/>
      <w:marBottom w:val="0"/>
      <w:divBdr>
        <w:top w:val="none" w:sz="0" w:space="0" w:color="auto"/>
        <w:left w:val="none" w:sz="0" w:space="0" w:color="auto"/>
        <w:bottom w:val="none" w:sz="0" w:space="0" w:color="auto"/>
        <w:right w:val="none" w:sz="0" w:space="0" w:color="auto"/>
      </w:divBdr>
    </w:div>
    <w:div w:id="438111464">
      <w:bodyDiv w:val="1"/>
      <w:marLeft w:val="0"/>
      <w:marRight w:val="0"/>
      <w:marTop w:val="0"/>
      <w:marBottom w:val="0"/>
      <w:divBdr>
        <w:top w:val="none" w:sz="0" w:space="0" w:color="auto"/>
        <w:left w:val="none" w:sz="0" w:space="0" w:color="auto"/>
        <w:bottom w:val="none" w:sz="0" w:space="0" w:color="auto"/>
        <w:right w:val="none" w:sz="0" w:space="0" w:color="auto"/>
      </w:divBdr>
    </w:div>
    <w:div w:id="553195485">
      <w:bodyDiv w:val="1"/>
      <w:marLeft w:val="0"/>
      <w:marRight w:val="0"/>
      <w:marTop w:val="0"/>
      <w:marBottom w:val="0"/>
      <w:divBdr>
        <w:top w:val="none" w:sz="0" w:space="0" w:color="auto"/>
        <w:left w:val="none" w:sz="0" w:space="0" w:color="auto"/>
        <w:bottom w:val="none" w:sz="0" w:space="0" w:color="auto"/>
        <w:right w:val="none" w:sz="0" w:space="0" w:color="auto"/>
      </w:divBdr>
    </w:div>
    <w:div w:id="1354308081">
      <w:bodyDiv w:val="1"/>
      <w:marLeft w:val="0"/>
      <w:marRight w:val="0"/>
      <w:marTop w:val="0"/>
      <w:marBottom w:val="0"/>
      <w:divBdr>
        <w:top w:val="none" w:sz="0" w:space="0" w:color="auto"/>
        <w:left w:val="none" w:sz="0" w:space="0" w:color="auto"/>
        <w:bottom w:val="none" w:sz="0" w:space="0" w:color="auto"/>
        <w:right w:val="none" w:sz="0" w:space="0" w:color="auto"/>
      </w:divBdr>
    </w:div>
    <w:div w:id="1372993803">
      <w:bodyDiv w:val="1"/>
      <w:marLeft w:val="0"/>
      <w:marRight w:val="0"/>
      <w:marTop w:val="0"/>
      <w:marBottom w:val="0"/>
      <w:divBdr>
        <w:top w:val="none" w:sz="0" w:space="0" w:color="auto"/>
        <w:left w:val="none" w:sz="0" w:space="0" w:color="auto"/>
        <w:bottom w:val="none" w:sz="0" w:space="0" w:color="auto"/>
        <w:right w:val="none" w:sz="0" w:space="0" w:color="auto"/>
      </w:divBdr>
    </w:div>
    <w:div w:id="1421487838">
      <w:bodyDiv w:val="1"/>
      <w:marLeft w:val="0"/>
      <w:marRight w:val="0"/>
      <w:marTop w:val="0"/>
      <w:marBottom w:val="0"/>
      <w:divBdr>
        <w:top w:val="none" w:sz="0" w:space="0" w:color="auto"/>
        <w:left w:val="none" w:sz="0" w:space="0" w:color="auto"/>
        <w:bottom w:val="none" w:sz="0" w:space="0" w:color="auto"/>
        <w:right w:val="none" w:sz="0" w:space="0" w:color="auto"/>
      </w:divBdr>
    </w:div>
    <w:div w:id="1822691169">
      <w:bodyDiv w:val="1"/>
      <w:marLeft w:val="0"/>
      <w:marRight w:val="0"/>
      <w:marTop w:val="0"/>
      <w:marBottom w:val="0"/>
      <w:divBdr>
        <w:top w:val="none" w:sz="0" w:space="0" w:color="auto"/>
        <w:left w:val="none" w:sz="0" w:space="0" w:color="auto"/>
        <w:bottom w:val="none" w:sz="0" w:space="0" w:color="auto"/>
        <w:right w:val="none" w:sz="0" w:space="0" w:color="auto"/>
      </w:divBdr>
    </w:div>
    <w:div w:id="1899054876">
      <w:bodyDiv w:val="1"/>
      <w:marLeft w:val="0"/>
      <w:marRight w:val="0"/>
      <w:marTop w:val="0"/>
      <w:marBottom w:val="0"/>
      <w:divBdr>
        <w:top w:val="none" w:sz="0" w:space="0" w:color="auto"/>
        <w:left w:val="none" w:sz="0" w:space="0" w:color="auto"/>
        <w:bottom w:val="none" w:sz="0" w:space="0" w:color="auto"/>
        <w:right w:val="none" w:sz="0" w:space="0" w:color="auto"/>
      </w:divBdr>
    </w:div>
    <w:div w:id="1935361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doi.org/10.1093/bib/bbw045" TargetMode="External"/><Relationship Id="rId3" Type="http://schemas.openxmlformats.org/officeDocument/2006/relationships/styles" Target="styles.xml"/><Relationship Id="rId21" Type="http://schemas.openxmlformats.org/officeDocument/2006/relationships/hyperlink" Target="https://doi.org/10.1186/s12943-020-01185-7"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doi.org/10.1093/jmcb/mjy006" TargetMode="External"/><Relationship Id="rId2" Type="http://schemas.openxmlformats.org/officeDocument/2006/relationships/numbering" Target="numbering.xml"/><Relationship Id="rId16" Type="http://schemas.openxmlformats.org/officeDocument/2006/relationships/hyperlink" Target="https://doi.org/10.1038/ng.3192" TargetMode="External"/><Relationship Id="rId20" Type="http://schemas.openxmlformats.org/officeDocument/2006/relationships/hyperlink" Target="https://cgga.org.cn/circRNADisease/home.js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93/nar/gkw735"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093/bioinformatics/bty93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38/s41419-020-2230-9" TargetMode="External"/><Relationship Id="rId22" Type="http://schemas.openxmlformats.org/officeDocument/2006/relationships/hyperlink" Target="https://doi.org/10.1186/s12943-020-01180-y"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22</Pages>
  <Words>5238</Words>
  <Characters>29861</Characters>
  <Application>Microsoft Office Word</Application>
  <DocSecurity>0</DocSecurity>
  <Lines>248</Lines>
  <Paragraphs>70</Paragraphs>
  <ScaleCrop>false</ScaleCrop>
  <Company/>
  <LinksUpToDate>false</LinksUpToDate>
  <CharactersWithSpaces>35029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dc:creator>
  <cp:lastModifiedBy>HJH</cp:lastModifiedBy>
  <cp:revision>105</cp:revision>
  <dcterms:created xsi:type="dcterms:W3CDTF">2025-04-14T11:35:00Z</dcterms:created>
  <dcterms:modified xsi:type="dcterms:W3CDTF">2025-06-24T07:54:00Z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