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/>
        <w:jc w:val="both"/>
      </w:pPr>
    </w:p>
    <w:p>
      <w:pPr>
        <w:spacing w:before="0" w:after="0"/>
        <w:jc w:val="center"/>
      </w:pPr>
      <w:r>
        <w:rPr>
          <w:b/>
          <w:i w:val="0"/>
          <w:sz w:val="28"/>
        </w:rPr>
        <w:t>Educação Judicial e Inovação Pedagógica: mapeamento bibliométrico global para fundamentar práticas formativas em escolas judiciais</w:t>
      </w:r>
    </w:p>
    <w:p>
      <w:pPr>
        <w:spacing w:before="0" w:after="0"/>
        <w:jc w:val="both"/>
      </w:pPr>
    </w:p>
    <w:p>
      <w:pPr>
        <w:spacing w:before="0" w:after="0"/>
        <w:jc w:val="center"/>
      </w:pPr>
      <w:r>
        <w:rPr>
          <w:b/>
          <w:i w:val="0"/>
          <w:sz w:val="24"/>
        </w:rPr>
        <w:t>Igor Caires Machado; Daniel Ribeiro Surdi de Avelar; Fabio Lopes Fernandes Ramos</w:t>
      </w:r>
    </w:p>
    <w:p>
      <w:pPr>
        <w:spacing w:before="0" w:after="0"/>
        <w:jc w:val="both"/>
      </w:pPr>
    </w:p>
    <w:p>
      <w:pPr>
        <w:spacing w:before="0" w:after="0"/>
        <w:jc w:val="center"/>
      </w:pPr>
      <w:r>
        <w:rPr>
          <w:b w:val="0"/>
          <w:i w:val="0"/>
          <w:sz w:val="24"/>
        </w:rPr>
        <w:t>Conselho Nacional de Justiça / Escola Nacional do Judiciário (ENAJU), Brasília, DF, Brasil (cairesmachado@gmail.com)</w:t>
      </w:r>
    </w:p>
    <w:p>
      <w:pPr>
        <w:spacing w:before="0" w:after="0"/>
        <w:jc w:val="both"/>
      </w:pPr>
    </w:p>
    <w:p>
      <w:pPr>
        <w:spacing w:before="0" w:after="0"/>
        <w:jc w:val="both"/>
      </w:pPr>
    </w:p>
    <w:p>
      <w:pPr>
        <w:spacing w:before="0" w:after="0" w:line="360" w:lineRule="auto"/>
        <w:jc w:val="both"/>
      </w:pPr>
      <w:r>
        <w:rPr>
          <w:b w:val="0"/>
          <w:i/>
          <w:sz w:val="24"/>
        </w:rPr>
        <w:t>Resumo</w:t>
      </w:r>
      <w:r>
        <w:rPr>
          <w:b w:val="0"/>
          <w:i w:val="0"/>
          <w:sz w:val="24"/>
        </w:rPr>
        <w:t xml:space="preserve">: </w:t>
      </w:r>
      <w:r>
        <w:rPr>
          <w:b w:val="0"/>
          <w:i w:val="0"/>
          <w:sz w:val="24"/>
        </w:rPr>
        <w:t>Mapeamento bibliométrico (1995–2025) de 25.565 registros Scopus sobre educação corporativa pública e judiciária. O Corpus C reúne 4.010 estudos (15,7%). Identifica baixa integração entre subcampos e propõe o IMECPJ como protótipo de benchmark para inovação pedagógica em escolas judiciais.</w:t>
      </w:r>
    </w:p>
    <w:p>
      <w:pPr>
        <w:spacing w:before="0" w:after="0"/>
        <w:jc w:val="both"/>
      </w:pPr>
    </w:p>
    <w:p>
      <w:pPr>
        <w:spacing w:before="0" w:after="0" w:line="360" w:lineRule="auto"/>
        <w:jc w:val="both"/>
      </w:pPr>
      <w:r>
        <w:rPr>
          <w:b w:val="0"/>
          <w:i/>
          <w:sz w:val="24"/>
        </w:rPr>
        <w:t>Palavras-chave</w:t>
      </w:r>
      <w:r>
        <w:rPr>
          <w:b w:val="0"/>
          <w:i w:val="0"/>
          <w:sz w:val="24"/>
        </w:rPr>
        <w:t xml:space="preserve">: </w:t>
      </w:r>
      <w:r>
        <w:rPr>
          <w:b w:val="0"/>
          <w:i w:val="0"/>
          <w:sz w:val="24"/>
        </w:rPr>
        <w:t>educação judicial; formação continuada; bibliometria; inovação pedagógica; escolas de governo</w:t>
      </w:r>
    </w:p>
    <w:p>
      <w:pPr>
        <w:spacing w:before="0" w:after="0"/>
        <w:jc w:val="both"/>
      </w:pPr>
    </w:p>
    <w:p>
      <w:pPr>
        <w:spacing w:before="0" w:after="0"/>
        <w:jc w:val="both"/>
      </w:pPr>
    </w:p>
    <w:p>
      <w:pPr>
        <w:spacing w:before="0" w:after="0"/>
        <w:jc w:val="both"/>
      </w:pPr>
    </w:p>
    <w:p>
      <w:pPr>
        <w:spacing w:before="120" w:after="0" w:line="360" w:lineRule="auto"/>
        <w:jc w:val="center"/>
      </w:pPr>
      <w:r>
        <w:rPr>
          <w:b w:val="0"/>
          <w:i w:val="0"/>
          <w:sz w:val="24"/>
        </w:rPr>
        <w:t>INTRODUÇÃO</w:t>
      </w:r>
    </w:p>
    <w:p>
      <w:pPr>
        <w:spacing w:before="120" w:after="0" w:line="360" w:lineRule="auto"/>
        <w:jc w:val="both"/>
      </w:pPr>
      <w:r>
        <w:rPr>
          <w:b w:val="0"/>
          <w:i w:val="0"/>
          <w:sz w:val="24"/>
        </w:rPr>
        <w:t>A Escola Nacional do Judiciário (ENAJU) e demais escolas judiciais do Poder Judiciário brasileiro ocupam posição estratégica na formação continuada de magistrados e servidores: são simultaneamente instrumentos de política de pessoal, agentes de mudança organizacional e repositórios de conhecimento institucional (Megginson e Clutterbuck, 2007; Rainey, 2009). Apesar dessa relevância, as decisões sobre currículo, metodologias de ensino e avaliação de impacto formativo raramente se apoiam em evidências sistematizadas da produção científica global — porque essa produção, quando existe, está dispersa em comunidades acadêmicas que raramente dialogam entre si.</w:t>
      </w:r>
    </w:p>
    <w:p>
      <w:pPr>
        <w:spacing w:before="120" w:after="0" w:line="360" w:lineRule="auto"/>
        <w:jc w:val="both"/>
      </w:pPr>
      <w:r>
        <w:rPr>
          <w:b w:val="0"/>
          <w:i w:val="0"/>
          <w:sz w:val="24"/>
        </w:rPr>
        <w:t>A literatura científica sobre educação corporativa pública e judiciária fragmenta-se em ao menos três tradições: a da aprendizagem corporativa e do desenvolvimento de recursos humanos (HRD), centrada no setor privado (Swanson e Holton, 2001); a da administração pública e do fortalecimento do Estado (capacity development), associada a organismos como a OCDE (Grindle, 2004); e a da educação judicial, vinculada ao campo do direito e da administração da justiça (Geyh, 2006). Uma escola judicial que deseja implantar metodologias ativas ou aprendizagem baseada em problemas dificilmente encontrará referências em sua literatura especializada — elas estão dispersas em periódicos de tecnologia educacional e gestão de recursos humanos (Siemens e Baker, 2013).</w:t>
      </w:r>
    </w:p>
    <w:p>
      <w:pPr>
        <w:spacing w:before="120" w:after="0" w:line="360" w:lineRule="auto"/>
        <w:jc w:val="both"/>
      </w:pPr>
      <w:r>
        <w:rPr>
          <w:b w:val="0"/>
          <w:i w:val="0"/>
          <w:sz w:val="24"/>
        </w:rPr>
        <w:t>Essa fragmentação tem consequências diretas para a inovação pedagógica: escolas de formação desenvolvem currículos e programas sem acesso ao acervo de evidências produzido por campos vizinhos, perdendo oportunidades de incorporar práticas baseadas em evidências. No contexto brasileiro, a Política Nacional de Desenvolvimento de Pessoas (PNDP), regulamentada pelo Decreto nº 9.991/2019, representa avanço normativo para a formação por competências no setor público, mas a base empírica que poderia orientar essa política permanece subutilizada pelas instituições formadoras.</w:t>
      </w:r>
    </w:p>
    <w:p>
      <w:pPr>
        <w:spacing w:before="120" w:after="0" w:line="360" w:lineRule="auto"/>
        <w:jc w:val="both"/>
      </w:pPr>
      <w:r>
        <w:rPr>
          <w:b w:val="0"/>
          <w:i w:val="0"/>
          <w:sz w:val="24"/>
        </w:rPr>
        <w:t>No Poder Judiciário, essa agenda é reforçada por políticas digitais do Conselho Nacional de Justiça. A Resolução CNJ nº 345/2020, que instituiu o Juízo 100% Digital, prevê infraestrutura de informática e telecomunicação e atendimento remoto por canais digitais. A Resolução CNJ nº 385/2021, ao dispor sobre os Núcleos de Justiça 4.0, ancora-se na transformação digital, no governo digital e na ampliação do acesso a serviços digitais. Esses marcos tornam a formação em competências digitais, avaliação de impacto e inovação pedagógica uma necessidade institucional, não apenas uma opção metodológica.</w:t>
      </w:r>
    </w:p>
    <w:p>
      <w:pPr>
        <w:spacing w:before="120" w:after="0" w:line="360" w:lineRule="auto"/>
        <w:jc w:val="both"/>
      </w:pPr>
      <w:r>
        <w:rPr>
          <w:b w:val="0"/>
          <w:i w:val="0"/>
          <w:sz w:val="24"/>
        </w:rPr>
        <w:t>Este artigo tem como objetivo mapear sistematicamente a produção científica global sobre educação corporativa pública e judiciária, identificar o estado do conhecimento, revelar gaps temáticos e oferecer subsídios para inovação pedagógica, desenho curricular e políticas de formação em escolas judiciais como a ENAJU. Para tanto, realiza-se um mapeamento bibliométrico global em quatro camadas analíticas: análise descritiva, cocitação de referências, acoplamento bibliográfico e modelagem de tópicos por LDA (Latent Dirichlet Allocation).</w:t>
      </w:r>
    </w:p>
    <w:p>
      <w:pPr>
        <w:spacing w:before="120" w:after="0" w:line="360" w:lineRule="auto"/>
        <w:jc w:val="both"/>
      </w:pPr>
      <w:r>
        <w:rPr>
          <w:b w:val="0"/>
          <w:i w:val="0"/>
          <w:sz w:val="24"/>
        </w:rPr>
        <w:t>A hipótese central é que a educação corporativa aplicada ao setor público e ao Judiciário não constitui campo científico consolidado, mas território híbrido entre gestão de pessoas, administração pública, educação profissional e formação judicial — com baixa integração interna e crescente pressão por inovação tecnológica. Confirmar ou refutar essa hipótese é condição para que escolas judiciais tomem decisões pedagógicas mais informadas e baseadas em evidências.</w:t>
      </w:r>
    </w:p>
    <w:p>
      <w:pPr>
        <w:spacing w:before="120" w:after="0" w:line="360" w:lineRule="auto"/>
        <w:jc w:val="both"/>
      </w:pPr>
      <w:r>
        <w:rPr>
          <w:b/>
          <w:i w:val="0"/>
          <w:sz w:val="24"/>
        </w:rPr>
        <w:t>Referencial teórico</w:t>
      </w:r>
    </w:p>
    <w:p>
      <w:pPr>
        <w:spacing w:before="120" w:after="0" w:line="360" w:lineRule="auto"/>
        <w:jc w:val="both"/>
      </w:pPr>
      <w:r>
        <w:rPr>
          <w:b w:val="0"/>
          <w:i w:val="0"/>
          <w:sz w:val="24"/>
        </w:rPr>
        <w:t>O conceito de universidade corporativa emergiu nos Estados Unidos na segunda metade do século XX como resposta às limitações dos modelos tradicionais de treinamento e desenvolvimento (Meister, 1998). A aprendizagem organizacional constitui o principal arcabouço teórico para compreender como organizações aprendem, retêm e renovam conhecimento (Argyris e Schön, 1978; Senge, 1990). Contribuições recentes expandiram esse quadro para incluir dinâmicas digitais, gestão do conhecimento e analytics (Davenport e Prusak, 1998; Siemens e Baker, 2013).</w:t>
      </w:r>
    </w:p>
    <w:p>
      <w:pPr>
        <w:spacing w:before="120" w:after="0" w:line="360" w:lineRule="auto"/>
        <w:jc w:val="both"/>
      </w:pPr>
      <w:r>
        <w:rPr>
          <w:b w:val="0"/>
          <w:i w:val="0"/>
          <w:sz w:val="24"/>
        </w:rPr>
        <w:t>Na literatura de administração pública, o desenvolvimento de capacidades é tratado como condição estrutural da efetividade estatal (Grindle, 2004). A OCDE distingue três níveis interdependentes: capacidades individuais (servidores), organizacionais (agências) e sistêmicas (políticas) (OECD, 2008). A qualidade da formação associa-se positivamente ao desempenho de serviços públicos (Ingraham e Donahue, 2001) e à resiliência institucional ante reformas (Christensen e Lægreid, 2007).</w:t>
      </w:r>
    </w:p>
    <w:p>
      <w:pPr>
        <w:spacing w:before="120" w:after="0" w:line="360" w:lineRule="auto"/>
        <w:jc w:val="both"/>
      </w:pPr>
      <w:r>
        <w:rPr>
          <w:b w:val="0"/>
          <w:i w:val="0"/>
          <w:sz w:val="24"/>
        </w:rPr>
        <w:t>A formação de magistrados e servidores judiciais constitui subcampo específico, articulado ao estado de direito e à prestação jurisdicional de qualidade (Damaška, 1986; Geyh, 2006). Organismos como a IOJT (International Organization for Judicial Training) e a EJTN têm atuado para sistematizar práticas de formação judicial comparada (IOJT, 2022). Há, contudo, gap notável entre a relevância institucional do Judiciário e a produção científica sobre sua formação (Piana, 2010) — lacuna que este artigo busca contribuir para suprir.</w:t>
      </w:r>
    </w:p>
    <w:p>
      <w:pPr>
        <w:spacing w:before="120" w:after="0" w:line="360" w:lineRule="auto"/>
        <w:jc w:val="both"/>
      </w:pPr>
      <w:r>
        <w:rPr>
          <w:b w:val="0"/>
          <w:i w:val="0"/>
          <w:sz w:val="24"/>
        </w:rPr>
        <w:t>Na intersecção entre tecnologia educacional e avaliação de impacto, um quarto subcampo emerge: learning analytics, inteligência artificial aplicada à formação e trilhas adaptativas indicam a aceleração tecnológica das práticas formativas em organizações públicas e privadas (Drachsler e Greller, 2012; Siemens e Baker, 2013). A avaliação de impacto de programas de formação — com modelos como os de Kirkpatrick (1994) e Phillips (1997) — representa lacuna recorrente: sabe-se pouco sobre o que funciona, em quais contextos e por quê (Aguinis e Kraiger, 2009).</w:t>
      </w:r>
    </w:p>
    <w:p>
      <w:pPr>
        <w:spacing w:before="120" w:after="0" w:line="360" w:lineRule="auto"/>
        <w:jc w:val="center"/>
      </w:pPr>
      <w:r>
        <w:rPr>
          <w:b w:val="0"/>
          <w:i w:val="0"/>
          <w:sz w:val="24"/>
        </w:rPr>
        <w:t>MATERIAL E MÉTODOS</w:t>
      </w:r>
    </w:p>
    <w:p>
      <w:pPr>
        <w:spacing w:before="120" w:after="0" w:line="360" w:lineRule="auto"/>
        <w:jc w:val="both"/>
      </w:pPr>
      <w:r>
        <w:rPr>
          <w:b w:val="0"/>
          <w:i w:val="0"/>
          <w:sz w:val="24"/>
        </w:rPr>
        <w:t>Esta pesquisa adota o delineamento de mapeamento bibliométrico sistemático, que combina análise quantitativa da produção científica com interpretação qualitativa dos padrões identificados (Donthu et al., 2021; Zupic e Čater, 2015). A abordagem é exploratória e descritiva: não se testam hipóteses causais, mas mapeia-se a estrutura de um campo em formação, identificando atores, temas, redes e gaps (Small, 1973). O protocolo foi construído com base nas diretrizes PRISMA 2020 (Page et al., 2021), adaptadas para pesquisas bibliométricas.</w:t>
      </w:r>
    </w:p>
    <w:p>
      <w:pPr>
        <w:spacing w:before="120" w:after="0" w:line="360" w:lineRule="auto"/>
        <w:jc w:val="both"/>
      </w:pPr>
      <w:r>
        <w:rPr>
          <w:b w:val="0"/>
          <w:i w:val="0"/>
          <w:sz w:val="24"/>
        </w:rPr>
        <w:t>O corpus foi construído a partir de quatro grupos de descritores — educação corporativa privada (Corpus A), capacitação no setor público (Corpus B), educação judicial (Corpus C) e inovação tecnológica educacional (Corpus D). O pipeline foi desenhado para integrar Scopus, OpenAlex, Crossref, Semantic Scholar e SciELO; nesta versão submetida, os resultados empíricos consolidados usam 25.565 registros elegíveis da Scopus. A coleta foi realizada em maio de 2026, com classificação mutuamente exclusiva entre corpora e deduplicação via DOI. O enriquecimento geográfico utilizou a base OpenAlex. O pipeline usa otimização do número de tópicos por métricas de coerência no LDA e parâmetros mínimos de rede ajustados em bibliometrix e igraph.</w:t>
      </w:r>
    </w:p>
    <w:p>
      <w:pPr>
        <w:spacing w:before="120" w:after="0" w:line="360" w:lineRule="auto"/>
        <w:jc w:val="both"/>
      </w:pPr>
      <w:r>
        <w:rPr>
          <w:b w:val="0"/>
          <w:i w:val="0"/>
          <w:sz w:val="24"/>
        </w:rPr>
        <w:t>Os descritores de busca por corpus incluíram os seguintes operadores booleanos representativos — Corpus A: "corporate education" OR "corporate university" OR "workplace learning" OR "human resource development"; Corpus B: "civil service training" OR "capacity development" OR "public sector learning" OR "government training"; Corpus C: "judicial education" OR "judicial training" OR "court staff training" OR "judicial capacity building"; Corpus D: "learning analytics" OR "educational technology" OR "training evaluation" OR "competency-based learning". Os critérios de filtragem na Scopus limitaram a tipos de documento (article, review, book chapter), período 1995–2025 e idiomas português, inglês e espanhol.</w:t>
      </w:r>
    </w:p>
    <w:p>
      <w:pPr>
        <w:spacing w:before="120" w:after="0" w:line="360" w:lineRule="auto"/>
        <w:jc w:val="both"/>
      </w:pPr>
      <w:r>
        <w:rPr>
          <w:b w:val="0"/>
          <w:i w:val="0"/>
          <w:sz w:val="24"/>
        </w:rPr>
        <w:t>Foram incluídos artigos científicos com revisão por pares, livros e capítulos indexados, publicados entre 1995 e 2025, em português, inglês ou espanhol, que abordassem ao menos um dos corpora temáticos. Foram excluídos registros sem título identificável, publicações retratadas e trabalhos cujos descritores fossem apenas formalmente aderentes, sem conteúdo temático verificável no título ou resumo.</w:t>
      </w:r>
    </w:p>
    <w:p>
      <w:pPr>
        <w:spacing w:before="120" w:after="0" w:line="360" w:lineRule="auto"/>
        <w:jc w:val="both"/>
      </w:pPr>
      <w:r>
        <w:rPr>
          <w:b w:val="0"/>
          <w:i w:val="0"/>
          <w:sz w:val="24"/>
        </w:rPr>
        <w:t>O estudo é reprodutível: todos os scripts de coleta, processamento e análise foram desenvolvidos em R e estão disponíveis em repositório público (https://github.com/cairesmachado-svg/enaju-gcpj). Esse caráter de infraestrutura tecnológica aberta representa contribuição metodológica per se: qualquer escola judicial ou instituição de ensino pode reutilizar o pipeline para atualizar continuamente o mapeamento e subsidiar decisões pedagógicas, curriculares e de gestão do conhecimento.</w:t>
      </w:r>
    </w:p>
    <w:p>
      <w:pPr>
        <w:spacing w:before="120" w:after="0" w:line="360" w:lineRule="auto"/>
        <w:jc w:val="both"/>
      </w:pPr>
      <w:r>
        <w:rPr>
          <w:b w:val="0"/>
          <w:i w:val="0"/>
          <w:sz w:val="24"/>
        </w:rPr>
        <w:t>Foram empregadas quatro técnicas bibliométricas em camadas progressivas de profundidade analítica. (1) Análise descritiva: perfil geral, distribuição temporal, geográfica e por periódico. (2) Cocitação de referências: revela a base intelectual do campo — os trabalhos fundadores que sustentam a produção existente (Small, 1973); por analogia, é o equivalente a identificar os "clássicos" que uma escola judicial deveria ter em sua biblioteca pedagógica. (3) Acoplamento bibliográfico: revela frentes emergentes — trabalhos recentes que compartilham referências e sinalizam novas agendas pedagógicas e de pesquisa (Kessler, 1963). (4) Modelagem de tópicos por LDA: identifica temas latentes nos títulos e resumos de forma indutiva, sem depender de palavras-chave declaradas (Blei et al., 2003). Para todas as redes, comunidades foram detectadas pelo algoritmo de Louvain (Blondel et al., 2008).</w:t>
      </w:r>
    </w:p>
    <w:p>
      <w:pPr>
        <w:spacing w:before="120" w:after="0" w:line="360" w:lineRule="auto"/>
        <w:jc w:val="center"/>
      </w:pPr>
      <w:r>
        <w:rPr>
          <w:b w:val="0"/>
          <w:i w:val="0"/>
          <w:sz w:val="24"/>
        </w:rPr>
        <w:t>RESULTADOS E DISCUSSÃO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W w:w="85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>Corpus</w:t>
            </w:r>
          </w:p>
        </w:tc>
        <w:tc>
          <w:tcPr>
            <w:tcW w:type="dxa" w:w="1814"/>
            <w:tcW w:w="3118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>Campo temático</w:t>
            </w:r>
          </w:p>
        </w:tc>
        <w:tc>
          <w:tcPr>
            <w:tcW w:type="dxa" w:w="1814"/>
            <w:tcW w:w="102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>N elegível</w:t>
            </w:r>
          </w:p>
        </w:tc>
        <w:tc>
          <w:tcPr>
            <w:tcW w:type="dxa" w:w="1814"/>
            <w:tcW w:w="1984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>Técnicas</w:t>
            </w:r>
          </w:p>
        </w:tc>
        <w:tc>
          <w:tcPr>
            <w:tcW w:type="dxa" w:w="1814"/>
            <w:tcW w:w="3231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>Principal achado</w:t>
            </w:r>
          </w:p>
        </w:tc>
      </w:tr>
      <w:tr>
        <w:tc>
          <w:tcPr>
            <w:tcW w:type="dxa" w:w="1814"/>
            <w:tcW w:w="850" w:type="dxa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1814"/>
            <w:tcW w:w="3118" w:type="dxa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Educação corporativa e aprendizagem organizacional</w:t>
            </w:r>
          </w:p>
        </w:tc>
        <w:tc>
          <w:tcPr>
            <w:tcW w:type="dxa" w:w="1814"/>
            <w:tcW w:w="1020" w:type="dxa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8.549</w:t>
            </w:r>
          </w:p>
        </w:tc>
        <w:tc>
          <w:tcPr>
            <w:tcW w:type="dxa" w:w="1814"/>
            <w:tcW w:w="1984" w:type="dxa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Descritiva, Cocitação, Acoplamento, LDA</w:t>
            </w:r>
          </w:p>
        </w:tc>
        <w:tc>
          <w:tcPr>
            <w:tcW w:type="dxa" w:w="1814"/>
            <w:tcW w:w="3231" w:type="dxa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Campo dominante; periódicos nucleares estabelecidos (HRD, Mgmt Learning)</w:t>
            </w:r>
          </w:p>
        </w:tc>
      </w:tr>
      <w:tr>
        <w:tc>
          <w:tcPr>
            <w:tcW w:type="dxa" w:w="1814"/>
            <w:tcW w:w="850" w:type="dxa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1814"/>
            <w:tcW w:w="3118" w:type="dxa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Setor público e desenvolvimento de capacidades</w:t>
            </w:r>
          </w:p>
        </w:tc>
        <w:tc>
          <w:tcPr>
            <w:tcW w:type="dxa" w:w="1814"/>
            <w:tcW w:w="1020" w:type="dxa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7.119</w:t>
            </w:r>
          </w:p>
        </w:tc>
        <w:tc>
          <w:tcPr>
            <w:tcW w:type="dxa" w:w="1814"/>
            <w:tcW w:w="1984" w:type="dxa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Descritiva, Cocitação, Acoplamento, LDA</w:t>
            </w:r>
          </w:p>
        </w:tc>
        <w:tc>
          <w:tcPr>
            <w:tcW w:type="dxa" w:w="1814"/>
            <w:tcW w:w="3231" w:type="dxa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Segunda maior tradição; crescimento acelerado pós-2010</w:t>
            </w:r>
          </w:p>
        </w:tc>
      </w:tr>
      <w:tr>
        <w:tc>
          <w:tcPr>
            <w:tcW w:type="dxa" w:w="1814"/>
            <w:tcW w:w="850" w:type="dxa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1814"/>
            <w:tcW w:w="3118" w:type="dxa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Educação judiciária</w:t>
            </w:r>
          </w:p>
        </w:tc>
        <w:tc>
          <w:tcPr>
            <w:tcW w:type="dxa" w:w="1814"/>
            <w:tcW w:w="1020" w:type="dxa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4.010</w:t>
            </w:r>
          </w:p>
        </w:tc>
        <w:tc>
          <w:tcPr>
            <w:tcW w:type="dxa" w:w="1814"/>
            <w:tcW w:w="1984" w:type="dxa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Descritiva, Cocitação, Acoplamento, LDA</w:t>
            </w:r>
          </w:p>
        </w:tc>
        <w:tc>
          <w:tcPr>
            <w:tcW w:type="dxa" w:w="1814"/>
            <w:tcW w:w="3231" w:type="dxa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Gap crítico: menor representação do corpus; menor coesão de rede</w:t>
            </w:r>
          </w:p>
        </w:tc>
      </w:tr>
      <w:tr>
        <w:tc>
          <w:tcPr>
            <w:tcW w:type="dxa" w:w="1814"/>
            <w:tcW w:w="850" w:type="dxa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D</w:t>
            </w:r>
          </w:p>
        </w:tc>
        <w:tc>
          <w:tcPr>
            <w:tcW w:type="dxa" w:w="1814"/>
            <w:tcW w:w="3118" w:type="dxa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Inovação tecnológica educacional</w:t>
            </w:r>
          </w:p>
        </w:tc>
        <w:tc>
          <w:tcPr>
            <w:tcW w:type="dxa" w:w="1814"/>
            <w:tcW w:w="1020" w:type="dxa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5.887</w:t>
            </w:r>
          </w:p>
        </w:tc>
        <w:tc>
          <w:tcPr>
            <w:tcW w:type="dxa" w:w="1814"/>
            <w:tcW w:w="1984" w:type="dxa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Descritiva, Cocitação, Acoplamento, LDA</w:t>
            </w:r>
          </w:p>
        </w:tc>
        <w:tc>
          <w:tcPr>
            <w:tcW w:type="dxa" w:w="1814"/>
            <w:tcW w:w="3231" w:type="dxa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Campo emergente; tópicos analytics e IA em rápida expansão</w:t>
            </w:r>
          </w:p>
        </w:tc>
      </w:tr>
    </w:tbl>
    <w:p>
      <w:pPr>
        <w:spacing w:before="60" w:after="120" w:line="240" w:lineRule="auto"/>
        <w:jc w:val="both"/>
      </w:pPr>
      <w:r>
        <w:rPr>
          <w:b w:val="0"/>
          <w:i/>
          <w:sz w:val="20"/>
        </w:rPr>
        <w:t>Quadro 1 — Síntese do corpus por grupo temático, técnicas aplicadas e principais achados.</w:t>
      </w:r>
    </w:p>
    <w:p>
      <w:pPr>
        <w:spacing w:before="0" w:after="0"/>
        <w:jc w:val="both"/>
      </w:pPr>
    </w:p>
    <w:p>
      <w:pPr>
        <w:spacing w:before="120" w:after="0" w:line="360" w:lineRule="auto"/>
        <w:jc w:val="both"/>
      </w:pPr>
      <w:r>
        <w:rPr>
          <w:b/>
          <w:i w:val="0"/>
          <w:sz w:val="24"/>
        </w:rPr>
        <w:t>Perfil geral do corpus e crescimento da produção</w:t>
      </w:r>
    </w:p>
    <w:p>
      <w:pPr>
        <w:spacing w:before="120" w:after="0" w:line="360" w:lineRule="auto"/>
        <w:jc w:val="both"/>
      </w:pPr>
      <w:r>
        <w:rPr>
          <w:b w:val="0"/>
          <w:i w:val="0"/>
          <w:sz w:val="24"/>
        </w:rPr>
        <w:t>A busca identificou 34.051 registros brutos. Após deduplicação, permaneceram 31.212 registros únicos; depois da aplicação do recorte 1995–2025, o corpus analítico final compreende 25.565 registros elegíveis, distribuídos por 8.697 periódicos distintos. Artigos publicados de 2010 a 2025 representam 20.924 registros (81,8% do corpus), indicando campo em expansão acelerada e oportunidade real para escolas judiciais atualizarem continuamente seus referenciais pedagógicos.</w:t>
      </w:r>
    </w:p>
    <w:p>
      <w:pPr>
        <w:spacing w:before="120" w:after="0" w:line="360" w:lineRule="auto"/>
        <w:jc w:val="both"/>
      </w:pPr>
      <w:r>
        <w:rPr>
          <w:b w:val="0"/>
          <w:i w:val="0"/>
          <w:sz w:val="24"/>
        </w:rPr>
        <w:t>A distribuição entre os corpora revela assimetria estrutural: o Corpus A (educação corporativa privada) domina a produção, seguido pelo Corpus B (setor público). O Corpus C (educação judiciária), com 4.010 registros (15,7% do total), não constitui campo residual em volume, mas apresenta menor coesão de rede, menor integração com os demais subcampos e baixa presença em periódicos especializados em inovação e HRD.</w:t>
      </w:r>
    </w:p>
    <w:p>
      <w:pPr>
        <w:spacing w:before="120" w:after="0" w:line="360" w:lineRule="auto"/>
        <w:jc w:val="both"/>
      </w:pPr>
      <w:r>
        <w:rPr>
          <w:b w:val="0"/>
          <w:i w:val="0"/>
          <w:sz w:val="24"/>
        </w:rPr>
        <w:t>Implicação pedagógica 1: A sub-representação da educação judicial na literatura científica — a despeito da relevância institucional do Poder Judiciário — indica que escolas como a ENAJU operam com base limitada de evidências para suas decisões curriculares e pedagógicas. Ampliar a produção científica sobre formação judicial é, ao mesmo tempo, prioridade acadêmica e necessidade institucional.</w:t>
      </w:r>
    </w:p>
    <w:p>
      <w:pPr>
        <w:spacing w:before="120" w:after="0" w:line="360" w:lineRule="auto"/>
        <w:jc w:val="both"/>
      </w:pPr>
      <w:r>
        <w:rPr>
          <w:b/>
          <w:i w:val="0"/>
          <w:sz w:val="24"/>
        </w:rPr>
        <w:t>Estrutura geográfica: implicações para cooperação formativa</w:t>
      </w:r>
    </w:p>
    <w:p>
      <w:pPr>
        <w:spacing w:before="120" w:after="0" w:line="360" w:lineRule="auto"/>
        <w:jc w:val="both"/>
      </w:pPr>
      <w:r>
        <w:rPr>
          <w:b w:val="0"/>
          <w:i w:val="0"/>
          <w:sz w:val="24"/>
        </w:rPr>
        <w:t>O enriquecimento com dados do OpenAlex permitiu identificar o país de afiliação do primeiro autor em 10.496 dos 25.565 registros elegíveis (41,1%). Os Estados Unidos lideram com 2.511 registros (23,9% dos registros com metadados de país), seguidos pelo Reino Unido (810; 7,7%), Austrália (615; 5,9%), China (389; 3,7%) e Alemanha (373; 3,6%). A Indonésia (366) e a África do Sul (193) surgem com presença expressiva para economias em desenvolvimento, sinalizando interesse crescente em formação judicial e educação corporativa pública nessas regiões. O Brasil aparece com 204 registros (1,9%) — posição modesta ante o tamanho de seu Judiciário e o potencial de liderança regional. A concentração nos países anglófonos — EUA, Reino Unido, Austrália e Canadá reúnem 40,7% da produção com país identificado — reflete viés de indexação em bases internacionais, não ausência de produção nos demais países.</w:t>
      </w:r>
    </w:p>
    <w:p>
      <w:pPr>
        <w:spacing w:before="120" w:after="0" w:line="360" w:lineRule="auto"/>
        <w:jc w:val="both"/>
      </w:pPr>
      <w:r>
        <w:rPr>
          <w:b w:val="0"/>
          <w:i w:val="0"/>
          <w:sz w:val="24"/>
        </w:rPr>
        <w:t>Implicação pedagógica 2: O domínio anglófono na literatura indexada indica que escolas judiciais de países de direito civil — como o Brasil — têm acesso limitado a estudos que reflitam seus modelos institucionais. Isso reforça a necessidade de a ENAJU investir em publicação científica em português e espanhol, indexada em bases internacionais, e de estabelecer acordos de cooperação prioritariamente com países de tradição romanística (França, Espanha, Itália, Portugal) e com redes ibero-americanas como a RIAEJ. As instituições mais produtivas nos corpora B e C constituem mapa de prioridades para acordos de cooperação técnica e cocriação de conteúdos formativos baseados em evidências.</w:t>
      </w:r>
    </w:p>
    <w:p>
      <w:pPr>
        <w:spacing w:before="120" w:after="0" w:line="360" w:lineRule="auto"/>
        <w:jc w:val="both"/>
      </w:pPr>
      <w:r>
        <w:rPr>
          <w:b/>
          <w:i w:val="0"/>
          <w:sz w:val="24"/>
        </w:rPr>
        <w:t>Periódicos nucleares e dispersão temática</w:t>
      </w:r>
    </w:p>
    <w:p>
      <w:pPr>
        <w:spacing w:before="120" w:after="0" w:line="360" w:lineRule="auto"/>
        <w:jc w:val="both"/>
      </w:pPr>
      <w:r>
        <w:rPr>
          <w:b w:val="0"/>
          <w:i w:val="0"/>
          <w:sz w:val="24"/>
        </w:rPr>
        <w:t>A análise de Bradford evidencia dispersão acentuada em todos os corpora: uma minoria de periódicos concentra a maior parte da produção. No Corpus A, os periódicos Journal of Workplace Learning, Human Resource Development Review e Management Learning formam o núcleo. No Corpus B, Public Administration Review, Governance e Public Management Review dominam. No Corpus C, destaca-se a quase ausência de periódicos especializados em educação judiciária nas grandes bases internacionais.</w:t>
      </w:r>
    </w:p>
    <w:p>
      <w:pPr>
        <w:spacing w:before="120" w:after="0" w:line="360" w:lineRule="auto"/>
        <w:jc w:val="both"/>
      </w:pPr>
      <w:r>
        <w:rPr>
          <w:b w:val="0"/>
          <w:i w:val="0"/>
          <w:sz w:val="24"/>
        </w:rPr>
        <w:t>Implicação pedagógica 3: A concentração em poucos periódicos de referência facilita o monitoramento sistemático da literatura por gestores das escolas judiciais. O pipeline bibliométrico desenvolvido neste estudo pode ser configurado para alertas periódicos nesses periódicos-núcleo, automatizando a atualização das trilhas formativas com base em evidências recentes.</w:t>
      </w:r>
    </w:p>
    <w:p>
      <w:pPr>
        <w:spacing w:before="120" w:after="0" w:line="360" w:lineRule="auto"/>
        <w:jc w:val="both"/>
      </w:pPr>
      <w:r>
        <w:rPr>
          <w:b/>
          <w:i w:val="0"/>
          <w:sz w:val="24"/>
        </w:rPr>
        <w:t>Redes de cocitação: base intelectual e gaps formativos</w:t>
      </w:r>
    </w:p>
    <w:p>
      <w:pPr>
        <w:spacing w:before="120" w:after="0" w:line="360" w:lineRule="auto"/>
        <w:jc w:val="both"/>
      </w:pPr>
      <w:r>
        <w:rPr>
          <w:b w:val="0"/>
          <w:i w:val="0"/>
          <w:sz w:val="24"/>
        </w:rPr>
        <w:t>A rede de cocitação identificou quatro comunidades teóricas: Cluster 1 — tradição da aprendizagem organizacional e HRD, com obras seminais como Argyris e Schön (1978), Senge (1990) e Meister (1998); Cluster 2 — administração pública e capacidade estatal, com Grindle (2004) e Rainey (2009); Cluster 3 — educação judicial, com volume notavelmente menor de referências compartilhadas, indicando menor coesão interna e menor diálogo com as demais tradições; Cluster 4 — tecnologia educacional e analytics, campo ainda em formação, com baixa densidade de cocitação.</w:t>
      </w:r>
    </w:p>
    <w:p>
      <w:pPr>
        <w:spacing w:before="120" w:after="0" w:line="360" w:lineRule="auto"/>
        <w:jc w:val="both"/>
      </w:pPr>
      <w:r>
        <w:rPr>
          <w:b w:val="0"/>
          <w:i w:val="0"/>
          <w:sz w:val="24"/>
        </w:rPr>
        <w:t>Implicação pedagógica 4: A ausência de diálogo entre os clusters aponta para uma oportunidade concreta de inovação curricular. Disciplinas e módulos que integrem deliberadamente as tradições de HRD, capacitação pública e formação judicial podem gerar programas mais robustos e baseados em evidências para magistrados e servidores. O Cluster 4 — analytics, IA, personalização — sinaliza a direção tecnológica que currículos modernos de escolas judiciais deveriam incorporar.</w:t>
      </w:r>
    </w:p>
    <w:p>
      <w:pPr>
        <w:spacing w:before="120" w:after="0" w:line="360" w:lineRule="auto"/>
        <w:jc w:val="both"/>
      </w:pPr>
      <w:r>
        <w:rPr>
          <w:b/>
          <w:i w:val="0"/>
          <w:sz w:val="24"/>
        </w:rPr>
        <w:t>Acoplamento bibliográfico: frentes emergentes e agendas pedagógicas</w:t>
      </w:r>
    </w:p>
    <w:p>
      <w:pPr>
        <w:spacing w:before="120" w:after="0" w:line="360" w:lineRule="auto"/>
        <w:jc w:val="both"/>
      </w:pPr>
      <w:r>
        <w:rPr>
          <w:b w:val="0"/>
          <w:i w:val="0"/>
          <w:sz w:val="24"/>
        </w:rPr>
        <w:t>O acoplamento dos artigos publicados entre 2015 e 2025 identificou quatro frentes emergentes com alto potencial para atualização de práticas formativas: (a) integração da transformação digital às práticas formativas no setor público — indica necessidade de formação de gestores para ambientes digitais; (b) formação por competências e avaliação de impacto — aponta para revisão de ementas e desenhos instrucionais orientados a resultados verificáveis; (c) crescimento de trabalhos sobre educação judicial em economias emergentes — indica janela para posicionamento do Brasil como referência regional; (d) expansão da literatura sobre learning analytics e personalização da aprendizagem — tendência que escolas judiciais avançadas já incorporam.</w:t>
      </w:r>
    </w:p>
    <w:p>
      <w:pPr>
        <w:spacing w:before="120" w:after="0" w:line="360" w:lineRule="auto"/>
        <w:jc w:val="both"/>
      </w:pPr>
      <w:r>
        <w:rPr>
          <w:b/>
          <w:i w:val="0"/>
          <w:sz w:val="24"/>
        </w:rPr>
        <w:t>Mapa temático e tópicos latentes: ementas e trilhas formativas</w:t>
      </w:r>
    </w:p>
    <w:p>
      <w:pPr>
        <w:spacing w:before="120" w:after="0" w:line="360" w:lineRule="auto"/>
        <w:jc w:val="both"/>
      </w:pPr>
      <w:r>
        <w:rPr>
          <w:b w:val="0"/>
          <w:i w:val="0"/>
          <w:sz w:val="24"/>
        </w:rPr>
        <w:t>O mapa temático organiza os clusters de palavras-chave em quatro quadrantes segundo densidade e centralidade (Callon et al., 1991). Os temas motores (alta centralidade, alta densidade) — centrais e bem desenvolvidos — concentram competências, desempenho organizacional e aprendizagem. Os temas básicos (alta centralidade, baixa densidade) — transversais mas difusos — incluem avaliação, formação continuada e gestão do conhecimento. Os temas emergentes (baixa centralidade, baixa densidade) — em fase de articulação — abrangem analytics, IA e transformação digital. Os temas de nicho incluem exatamente a educação judicial, confirmando seu isolamento relativo no ecossistema científico mais amplo.</w:t>
      </w:r>
    </w:p>
    <w:p>
      <w:pPr>
        <w:spacing w:before="120" w:after="0" w:line="360" w:lineRule="auto"/>
        <w:jc w:val="both"/>
      </w:pPr>
      <w:r>
        <w:rPr>
          <w:b w:val="0"/>
          <w:i w:val="0"/>
          <w:sz w:val="24"/>
        </w:rPr>
        <w:t>A modelagem LDA confirma esse padrão: enquanto os corpora A, B e D compartilham tópicos relacionados a competências, desempenho e tecnologia, o Corpus C concentra-se em vocabulário próprio do campo jurídico, evidenciando baixa permeabilidade temática. Esse achado tem implicação pedagógica direta: a formação judicial pode se beneficiar de abertura seletiva a métodos, teorias e práticas desenvolvidos em outros campos educacionais.</w:t>
      </w:r>
    </w:p>
    <w:p>
      <w:pPr>
        <w:spacing w:before="120" w:after="0" w:line="360" w:lineRule="auto"/>
        <w:jc w:val="both"/>
      </w:pPr>
      <w:r>
        <w:rPr>
          <w:b/>
          <w:i w:val="0"/>
          <w:sz w:val="24"/>
        </w:rPr>
        <w:t>O IMECPJ: protótipo analítico de benchmark pedagógico e institucional</w:t>
      </w:r>
    </w:p>
    <w:p>
      <w:pPr>
        <w:spacing w:before="120" w:after="0" w:line="360" w:lineRule="auto"/>
        <w:jc w:val="both"/>
      </w:pPr>
      <w:r>
        <w:rPr>
          <w:b w:val="0"/>
          <w:i w:val="0"/>
          <w:sz w:val="24"/>
        </w:rPr>
        <w:t>Com base nos achados, propõe-se o Índice de Maturidade da Educação Corporativa Pública e Judiciária (IMECPJ), instrumento de benchmark composto por sete dimensões: governança (D1), produção de conhecimento (D2), avaliação e evidências (D3), inovação educacional (D4), cooperação em rede (D5), infraestrutura tecnológica (D6) e impacto institucional (D7). Operacionalmente, o índice é calculado como média ponderada das sete dimensões normalizadas em escala de 0 a 10: IMECPJ = Σ(Di × wi), com pesos exploratórios definidos por relevância institucional. O instrumento deve ser lido como protótipo analítico operacionalizável, e não como ranking definitivo de maturidade.</w:t>
      </w:r>
    </w:p>
    <w:p>
      <w:pPr>
        <w:spacing w:before="120" w:after="0" w:line="360" w:lineRule="auto"/>
        <w:jc w:val="both"/>
      </w:pPr>
      <w:r>
        <w:rPr>
          <w:b w:val="0"/>
          <w:i w:val="0"/>
          <w:sz w:val="24"/>
        </w:rPr>
        <w:t>Para o Brasil, a hipótese de trabalho é que os principais hiatos se concentrem em avaliação e evidências (D3) e inovação educacional (D4), com avanço relativo em governança (D1) e cooperação em rede (D5). Esses resultados são estimativas baseadas em proxies bibliométricos e mapeamento institucional, sujeitas a validação empírica por questionários estruturados junto a gestores de escolas de formação.</w:t>
      </w:r>
    </w:p>
    <w:p>
      <w:pPr>
        <w:spacing w:before="120" w:after="0" w:line="360" w:lineRule="auto"/>
        <w:jc w:val="both"/>
      </w:pPr>
      <w:r>
        <w:rPr>
          <w:b w:val="0"/>
          <w:i w:val="0"/>
          <w:sz w:val="24"/>
        </w:rPr>
        <w:t>O IMECPJ é um instrumento pedagógico-institucional: ao comparar dimensões de maturidade entre países, permite que escolas como a ENAJU identifiquem não apenas onde estão, mas quais práticas formativas e de gestão do conhecimento podem ser adaptadas de contextos mais avançados. A Dimensão D3 (avaliação e evidências) merece atenção prioritária: a ausência de avaliação rigorosa de impacto dos programas formativos é o principal fator limitante para a melhoria contínua da qualidade na formação judicial.</w:t>
      </w:r>
    </w:p>
    <w:p>
      <w:pPr>
        <w:spacing w:before="120" w:after="0" w:line="360" w:lineRule="auto"/>
        <w:jc w:val="both"/>
      </w:pPr>
      <w:r>
        <w:rPr>
          <w:b/>
          <w:i w:val="0"/>
          <w:sz w:val="24"/>
        </w:rPr>
        <w:t>Implicações para práticas pedagógicas em escolas judiciais</w:t>
      </w:r>
    </w:p>
    <w:p>
      <w:pPr>
        <w:spacing w:before="120" w:after="0" w:line="360" w:lineRule="auto"/>
        <w:jc w:val="both"/>
      </w:pPr>
      <w:r>
        <w:rPr>
          <w:b w:val="0"/>
          <w:i w:val="0"/>
          <w:sz w:val="24"/>
        </w:rPr>
        <w:t>Os resultados convergem para recomendações concretas: (1) Atualização curricular baseada em evidências — as fronteiras de pesquisa identificadas pelo acoplamento sugerem que trilhas formativas da ENAJU deveriam incorporar unidades sobre avaliação de impacto, competências digitais e metodologias ativas, temas emergentes ainda sub-representados nos currículos tradicionais de escolas judiciais.</w:t>
      </w:r>
    </w:p>
    <w:p>
      <w:pPr>
        <w:spacing w:before="120" w:after="0" w:line="360" w:lineRule="auto"/>
        <w:jc w:val="both"/>
      </w:pPr>
      <w:r>
        <w:rPr>
          <w:b w:val="0"/>
          <w:i w:val="0"/>
          <w:sz w:val="24"/>
        </w:rPr>
        <w:t>(2) Integração interdisciplinar — os clusters de cocitação revelam que os maiores avanços em formação profissional no setor público e judiciário estão sendo gerados na intersecção entre HRD, administração pública e tecnologia educacional. Programas que integrem essas tradições tendem a ser mais efetivos do que os que se limitam ao vocabulário jurídico tradicional.</w:t>
      </w:r>
    </w:p>
    <w:p>
      <w:pPr>
        <w:spacing w:before="120" w:after="0" w:line="360" w:lineRule="auto"/>
        <w:jc w:val="both"/>
      </w:pPr>
      <w:r>
        <w:rPr>
          <w:b w:val="0"/>
          <w:i w:val="0"/>
          <w:sz w:val="24"/>
        </w:rPr>
        <w:t>(3) Infraestrutura tecnológica para pesquisa formativa — o pipeline bibliométrico automatizado deste estudo pode ser reutilizado como infraestrutura permanente de inteligência de conhecimento para escolas judiciais, permitindo monitoramento contínuo da produção científica relevante e atualização de ementas com base em evidências atualizadas.</w:t>
      </w:r>
    </w:p>
    <w:p>
      <w:pPr>
        <w:spacing w:before="120" w:after="0" w:line="360" w:lineRule="auto"/>
        <w:jc w:val="both"/>
      </w:pPr>
      <w:r>
        <w:rPr>
          <w:b w:val="0"/>
          <w:i w:val="0"/>
          <w:sz w:val="24"/>
        </w:rPr>
        <w:t>(4) Cooperação e visibilidade científica — o gap bibliométrico da educação judiciária é também um problema de visibilidade. A produção das escolas judiciais brasileiras — relatórios, estudos de caso, avaliações de impacto — raramente chega às bases internacionais. Investir em publicação científica e em indexação de relatórios institucionais é parte da estratégia de liderança regional em formação judicial.</w:t>
      </w:r>
    </w:p>
    <w:p>
      <w:pPr>
        <w:spacing w:before="120" w:after="0" w:line="360" w:lineRule="auto"/>
        <w:jc w:val="center"/>
      </w:pPr>
      <w:r>
        <w:rPr>
          <w:b w:val="0"/>
          <w:i w:val="0"/>
          <w:sz w:val="24"/>
        </w:rPr>
        <w:t>CONCLUSÃO</w:t>
      </w:r>
    </w:p>
    <w:p>
      <w:pPr>
        <w:spacing w:before="120" w:after="0" w:line="360" w:lineRule="auto"/>
        <w:jc w:val="both"/>
      </w:pPr>
      <w:r>
        <w:rPr>
          <w:b w:val="0"/>
          <w:i w:val="0"/>
          <w:sz w:val="24"/>
        </w:rPr>
        <w:t>Este artigo demonstra que a educação corporativa pública e judiciária é um campo científico emergente e fragmentado — não um território unificado. Três subcampos coexistem com baixa integração: a tradição da aprendizagem corporativa e do HRD; a tradição da capacitação no setor público; e a tradição da educação judicial. Um quarto subcampo, centrado em inovação tecnológica educacional, emerge de forma transversal.</w:t>
      </w:r>
    </w:p>
    <w:p>
      <w:pPr>
        <w:spacing w:before="120" w:after="0" w:line="360" w:lineRule="auto"/>
        <w:jc w:val="both"/>
      </w:pPr>
      <w:r>
        <w:rPr>
          <w:b w:val="0"/>
          <w:i w:val="0"/>
          <w:sz w:val="24"/>
        </w:rPr>
        <w:t>A contribuição central do artigo é tripla para a pesquisa e a prática pedagógica em formação judicial: (a) mapeia sistematicamente a estrutura do campo com técnicas bibliométricas complementares, oferecendo à ENAJU e demais escolas judiciais um painel de estado do conhecimento; (b) quantifica, nesta versão exploratória, o gap da educação judiciária na produção científica global, apontando oportunidade de alta originalidade para pesquisadores e gestores educacionais do Judiciário; e (c) propõe o IMECPJ como protótipo analítico de benchmark para identificar dimensões de maturidade e subsidiar planejamento pedagógico e institucional. Ressalta-se que o IMECPJ não foi aplicado empiricamente neste estudo; sua apresentação tem caráter propositivo e deverá ser validada em etapa posterior por especialistas e gestores de escolas judiciais.</w:t>
      </w:r>
    </w:p>
    <w:p>
      <w:pPr>
        <w:spacing w:before="120" w:after="0" w:line="360" w:lineRule="auto"/>
        <w:jc w:val="both"/>
      </w:pPr>
      <w:r>
        <w:rPr>
          <w:b w:val="0"/>
          <w:i w:val="0"/>
          <w:sz w:val="24"/>
        </w:rPr>
        <w:t>Para a agenda de pesquisa em educação judicial e inovação pedagógica, os achados apontam quatro prioridades: (a) desenvolvimento de avaliações de impacto com design quasi-experimental para programas de formação no setor público e judiciário; (b) estudos de caso comparados sobre o uso de learning analytics em escolas de governo e judiciais; (c) mapeamento sistemático da literatura cinzenta produzida por escolas judiciais e organismos internacionais, com vistas à sua integração às bases científicas; e (d) validação empírica do IMECPJ em amostras mais amplas, com uso de questionários estruturados junto a gestores de escolas de formação.</w:t>
      </w:r>
    </w:p>
    <w:p>
      <w:pPr>
        <w:spacing w:before="120" w:after="0" w:line="360" w:lineRule="auto"/>
        <w:jc w:val="both"/>
      </w:pPr>
      <w:r>
        <w:rPr>
          <w:b w:val="0"/>
          <w:i w:val="0"/>
          <w:sz w:val="24"/>
        </w:rPr>
        <w:t>Para as instituições formadoras, o estudo sugere que a integração entre os três subcampos pode gerar ganhos pedagógicos substantivos: as escolas judiciais têm muito a aprender com as tradições de HRD e capacitação pública; as escolas de governo podem incorporar a rica tradição de ética, independência funcional e formação para a democracia que caracteriza a educação judicial; e ambas podem dialogar mais produtivamente com a pesquisa sobre tecnologia educacional. Caminhos futuros incluem a integração do pipeline automatizado a sistemas de gestão do aprendizado (LMS), a avaliação de impacto longitudinal dos programas da ENAJU e a extensão do IMECPJ a países da América Latina para criação de uma rede de benchmarking regional.</w:t>
      </w:r>
    </w:p>
    <w:p>
      <w:pPr>
        <w:spacing w:before="120" w:after="0" w:line="360" w:lineRule="auto"/>
        <w:jc w:val="center"/>
      </w:pPr>
      <w:r>
        <w:rPr>
          <w:b w:val="0"/>
          <w:i w:val="0"/>
          <w:sz w:val="24"/>
        </w:rPr>
        <w:t>AGRADECIMENTOS</w:t>
      </w:r>
    </w:p>
    <w:p>
      <w:pPr>
        <w:spacing w:before="120" w:after="0" w:line="360" w:lineRule="auto"/>
        <w:jc w:val="both"/>
      </w:pPr>
      <w:r>
        <w:rPr>
          <w:b w:val="0"/>
          <w:i w:val="0"/>
          <w:sz w:val="24"/>
        </w:rPr>
        <w:t>Os autores agradecem ao Conselho Nacional de Justiça (CNJ) e à Escola Nacional do Judiciário (ENAJU) pelo apoio institucional ao desenvolvimento desta pesquisa.</w:t>
      </w:r>
    </w:p>
    <w:p>
      <w:pPr>
        <w:spacing w:before="120" w:after="0" w:line="360" w:lineRule="auto"/>
        <w:jc w:val="center"/>
      </w:pPr>
      <w:r>
        <w:rPr>
          <w:b w:val="0"/>
          <w:i w:val="0"/>
          <w:sz w:val="24"/>
        </w:rPr>
        <w:t>REFERÊNCIAS</w:t>
      </w:r>
    </w:p>
    <w:p>
      <w:pPr>
        <w:spacing w:before="120" w:after="0" w:line="360" w:lineRule="auto"/>
        <w:ind w:hanging="283" w:left="283"/>
        <w:jc w:val="both"/>
      </w:pPr>
      <w:r>
        <w:rPr>
          <w:b w:val="0"/>
          <w:i w:val="0"/>
          <w:sz w:val="24"/>
        </w:rPr>
        <w:t>AGUINIS, Herman; KRAIGER, Kurt. Benefits of Training and Development for Individuals and Teams, Organizations, and Society. Annual Review of Psychology, v. 60, p. 451–474, 2009.</w:t>
      </w:r>
    </w:p>
    <w:p>
      <w:pPr>
        <w:spacing w:before="120" w:after="0" w:line="360" w:lineRule="auto"/>
        <w:ind w:hanging="283" w:left="283"/>
        <w:jc w:val="both"/>
      </w:pPr>
      <w:r>
        <w:rPr>
          <w:b w:val="0"/>
          <w:i w:val="0"/>
          <w:sz w:val="24"/>
        </w:rPr>
        <w:t>ARGYRIS, Chris; SCHÖN, Donald A. Organizational Learning: A Theory of Action Perspective. Reading: Addison-Wesley, 1978.</w:t>
      </w:r>
    </w:p>
    <w:p>
      <w:pPr>
        <w:spacing w:before="120" w:after="0" w:line="360" w:lineRule="auto"/>
        <w:ind w:hanging="283" w:left="283"/>
        <w:jc w:val="both"/>
      </w:pPr>
      <w:r>
        <w:rPr>
          <w:b w:val="0"/>
          <w:i w:val="0"/>
          <w:sz w:val="24"/>
        </w:rPr>
        <w:t>BLEI, David M.; NG, Andrew Y.; JORDAN, Michael I. Latent Dirichlet Allocation. Journal of Machine Learning Research, v. 3, p. 993–1022, 2003.</w:t>
      </w:r>
    </w:p>
    <w:p>
      <w:pPr>
        <w:spacing w:before="120" w:after="0" w:line="360" w:lineRule="auto"/>
        <w:ind w:hanging="283" w:left="283"/>
        <w:jc w:val="both"/>
      </w:pPr>
      <w:r>
        <w:rPr>
          <w:b w:val="0"/>
          <w:i w:val="0"/>
          <w:sz w:val="24"/>
        </w:rPr>
        <w:t>BLONDEL, Vincent D. et al. Fast Unfolding of Communities in Large Networks. Journal of Statistical Mechanics: Theory and Experiment, v. 2008, n. 10, p. P10008, 2008.</w:t>
      </w:r>
    </w:p>
    <w:p>
      <w:pPr>
        <w:spacing w:before="120" w:after="0" w:line="360" w:lineRule="auto"/>
        <w:ind w:hanging="283" w:left="283"/>
        <w:jc w:val="both"/>
      </w:pPr>
      <w:r>
        <w:rPr>
          <w:b w:val="0"/>
          <w:i w:val="0"/>
          <w:sz w:val="24"/>
        </w:rPr>
        <w:t>CALLON, Michel; COURTIAL, Jean-Pierre; LAVILLE, Françoise. Co-Word Analysis as a Tool for Describing the Network of Interactions Between Basic and Technological Research. Scientometrics, v. 22, n. 1, p. 155–205, 1991.</w:t>
      </w:r>
    </w:p>
    <w:p>
      <w:pPr>
        <w:spacing w:before="120" w:after="0" w:line="360" w:lineRule="auto"/>
        <w:ind w:hanging="283" w:left="283"/>
        <w:jc w:val="both"/>
      </w:pPr>
      <w:r>
        <w:rPr>
          <w:b w:val="0"/>
          <w:i w:val="0"/>
          <w:sz w:val="24"/>
        </w:rPr>
        <w:t>CHRISTENSEN, Tom; LÆGREID, Per. The Whole-of-Government Approach to Public Sector Reform. Public Administration Review, v. 67, n. 6, p. 1059–1066, 2007.</w:t>
      </w:r>
    </w:p>
    <w:p>
      <w:pPr>
        <w:spacing w:before="120" w:after="0" w:line="360" w:lineRule="auto"/>
        <w:ind w:hanging="283" w:left="283"/>
        <w:jc w:val="both"/>
      </w:pPr>
      <w:r>
        <w:rPr>
          <w:b w:val="0"/>
          <w:i w:val="0"/>
          <w:sz w:val="24"/>
        </w:rPr>
        <w:t>DAMAŠKA, Mirjan R. The Faces of Justice and State Authority: A Comparative Approach to the Legal Process. New Haven: Yale University Press, 1986.</w:t>
      </w:r>
    </w:p>
    <w:p>
      <w:pPr>
        <w:spacing w:before="120" w:after="0" w:line="360" w:lineRule="auto"/>
        <w:ind w:hanging="283" w:left="283"/>
        <w:jc w:val="both"/>
      </w:pPr>
      <w:r>
        <w:rPr>
          <w:b w:val="0"/>
          <w:i w:val="0"/>
          <w:sz w:val="24"/>
        </w:rPr>
        <w:t>DAVENPORT, Thomas H.; PRUSAK, Laurence. Working Knowledge: How Organizations Manage What They Know. Boston: Harvard Business School Press, 1998.</w:t>
      </w:r>
    </w:p>
    <w:p>
      <w:pPr>
        <w:spacing w:before="120" w:after="0" w:line="360" w:lineRule="auto"/>
        <w:ind w:hanging="283" w:left="283"/>
        <w:jc w:val="both"/>
      </w:pPr>
      <w:r>
        <w:rPr>
          <w:b w:val="0"/>
          <w:i w:val="0"/>
          <w:sz w:val="24"/>
        </w:rPr>
        <w:t>DONTHU, Naveen et al. How to Conduct a Bibliometric Analysis: An Overview and Guidelines. Journal of Business Research, v. 133, p. 285–296, 2021.</w:t>
      </w:r>
    </w:p>
    <w:p>
      <w:pPr>
        <w:spacing w:before="120" w:after="0" w:line="360" w:lineRule="auto"/>
        <w:ind w:hanging="283" w:left="283"/>
        <w:jc w:val="both"/>
      </w:pPr>
      <w:r>
        <w:rPr>
          <w:b w:val="0"/>
          <w:i w:val="0"/>
          <w:sz w:val="24"/>
        </w:rPr>
        <w:t>DRACHSLER, Hendrik; GRELLER, Wolfgang. The Pulse of Learning Analytics Understandings and Expectations from the Stakeholders. Proceedings of the 2nd International Conference on Learning Analytics and Knowledge, p. 120–129, 2012.</w:t>
      </w:r>
    </w:p>
    <w:p>
      <w:pPr>
        <w:spacing w:before="120" w:after="0" w:line="360" w:lineRule="auto"/>
        <w:ind w:hanging="283" w:left="283"/>
        <w:jc w:val="both"/>
      </w:pPr>
      <w:r>
        <w:rPr>
          <w:b w:val="0"/>
          <w:i w:val="0"/>
          <w:sz w:val="24"/>
        </w:rPr>
        <w:t>GEYH, Charles Gardner. When Courts and Congress Collide: The Struggle for Control of America's Judicial System. Ann Arbor: University of Michigan Press, 2006.</w:t>
      </w:r>
    </w:p>
    <w:p>
      <w:pPr>
        <w:spacing w:before="120" w:after="0" w:line="360" w:lineRule="auto"/>
        <w:ind w:hanging="283" w:left="283"/>
        <w:jc w:val="both"/>
      </w:pPr>
      <w:r>
        <w:rPr>
          <w:b w:val="0"/>
          <w:i w:val="0"/>
          <w:sz w:val="24"/>
        </w:rPr>
        <w:t>GRINDLE, Merilee S. Good Enough Governance: Poverty Reduction and Reform in Developing Countries. Governance, v. 17, n. 4, p. 525–548, 2004.</w:t>
      </w:r>
    </w:p>
    <w:p>
      <w:pPr>
        <w:spacing w:before="120" w:after="0" w:line="360" w:lineRule="auto"/>
        <w:ind w:hanging="283" w:left="283"/>
        <w:jc w:val="both"/>
      </w:pPr>
      <w:r>
        <w:rPr>
          <w:b w:val="0"/>
          <w:i w:val="0"/>
          <w:sz w:val="24"/>
        </w:rPr>
        <w:t>INGRAHAM, Patricia W.; DONAHUE, Amy Kneedler. Dissecting the Black Box Revisited: Characterizing Government Management Capacity. Politics, Policy, and Organizations, p. 292–318, 2001.</w:t>
      </w:r>
    </w:p>
    <w:p>
      <w:pPr>
        <w:spacing w:before="120" w:after="0" w:line="360" w:lineRule="auto"/>
        <w:ind w:hanging="283" w:left="283"/>
        <w:jc w:val="both"/>
      </w:pPr>
      <w:r>
        <w:rPr>
          <w:b w:val="0"/>
          <w:i w:val="0"/>
          <w:sz w:val="24"/>
        </w:rPr>
        <w:t>IOJT – INTERNATIONAL ORGANIZATION FOR JUDICIAL TRAINING. Global Report on Judicial Education and Training. IOJT, 2022.</w:t>
      </w:r>
    </w:p>
    <w:p>
      <w:pPr>
        <w:spacing w:before="120" w:after="0" w:line="360" w:lineRule="auto"/>
        <w:ind w:hanging="283" w:left="283"/>
        <w:jc w:val="both"/>
      </w:pPr>
      <w:r>
        <w:rPr>
          <w:b w:val="0"/>
          <w:i w:val="0"/>
          <w:sz w:val="24"/>
        </w:rPr>
        <w:t>KESSLER, M. M. Bibliographic Coupling Between Scientific Papers. American Documentation, v. 14, n. 1, p. 10–25, 1963.</w:t>
      </w:r>
    </w:p>
    <w:p>
      <w:pPr>
        <w:spacing w:before="120" w:after="0" w:line="360" w:lineRule="auto"/>
        <w:ind w:hanging="283" w:left="283"/>
        <w:jc w:val="both"/>
      </w:pPr>
      <w:r>
        <w:rPr>
          <w:b w:val="0"/>
          <w:i w:val="0"/>
          <w:sz w:val="24"/>
        </w:rPr>
        <w:t>KIRKPATRICK, Donald L. Evaluating Training Programs: The Four Levels. San Francisco: Berrett-Koehler, 1994.</w:t>
      </w:r>
    </w:p>
    <w:p>
      <w:pPr>
        <w:spacing w:before="120" w:after="0" w:line="360" w:lineRule="auto"/>
        <w:ind w:hanging="283" w:left="283"/>
        <w:jc w:val="both"/>
      </w:pPr>
      <w:r>
        <w:rPr>
          <w:b w:val="0"/>
          <w:i w:val="0"/>
          <w:sz w:val="24"/>
        </w:rPr>
        <w:t>MEGGINSON, David; CLUTTERBUCK, David. Mentoring in Action: A Practical Guide. 2. ed. London: Kogan Page, 2007.</w:t>
      </w:r>
    </w:p>
    <w:p>
      <w:pPr>
        <w:spacing w:before="120" w:after="0" w:line="360" w:lineRule="auto"/>
        <w:ind w:hanging="283" w:left="283"/>
        <w:jc w:val="both"/>
      </w:pPr>
      <w:r>
        <w:rPr>
          <w:b w:val="0"/>
          <w:i w:val="0"/>
          <w:sz w:val="24"/>
        </w:rPr>
        <w:t>MEISTER, Jeanne C. Corporate Universities: Lessons in Building a World-Class Work Force. New York: McGraw-Hill, 1998.</w:t>
      </w:r>
    </w:p>
    <w:p>
      <w:pPr>
        <w:spacing w:before="120" w:after="0" w:line="360" w:lineRule="auto"/>
        <w:ind w:hanging="283" w:left="283"/>
        <w:jc w:val="both"/>
      </w:pPr>
      <w:r>
        <w:rPr>
          <w:b w:val="0"/>
          <w:i w:val="0"/>
          <w:sz w:val="24"/>
        </w:rPr>
        <w:t>OECD. The Challenge of Capacity Development: Working Towards Good Practice. Paris: OECD Publishing, 2008.</w:t>
      </w:r>
    </w:p>
    <w:p>
      <w:pPr>
        <w:spacing w:before="120" w:after="0" w:line="360" w:lineRule="auto"/>
        <w:ind w:hanging="283" w:left="283"/>
        <w:jc w:val="both"/>
      </w:pPr>
      <w:r>
        <w:rPr>
          <w:b w:val="0"/>
          <w:i w:val="0"/>
          <w:sz w:val="24"/>
        </w:rPr>
        <w:t>OECD. Skills for a High Performing Civil Service. Paris: OECD Public Governance Reviews, OECD Publishing, 2017.</w:t>
      </w:r>
    </w:p>
    <w:p>
      <w:pPr>
        <w:spacing w:before="120" w:after="0" w:line="360" w:lineRule="auto"/>
        <w:ind w:hanging="283" w:left="283"/>
        <w:jc w:val="both"/>
      </w:pPr>
      <w:r>
        <w:rPr>
          <w:b w:val="0"/>
          <w:i w:val="0"/>
          <w:sz w:val="24"/>
        </w:rPr>
        <w:t>PAGE, Matthew J. et al. The PRISMA 2020 Statement: An Updated Guideline for Reporting Systematic Reviews. BMJ, v. 372, p. n71, 2021.</w:t>
      </w:r>
    </w:p>
    <w:p>
      <w:pPr>
        <w:spacing w:before="120" w:after="0" w:line="360" w:lineRule="auto"/>
        <w:ind w:hanging="283" w:left="283"/>
        <w:jc w:val="both"/>
      </w:pPr>
      <w:r>
        <w:rPr>
          <w:b w:val="0"/>
          <w:i w:val="0"/>
          <w:sz w:val="24"/>
        </w:rPr>
        <w:t>PHILLIPS, Jack J. Return on Investment in Training and Performance Improvement Programs. Boston: Butterworth-Heinemann, 1997.</w:t>
      </w:r>
    </w:p>
    <w:p>
      <w:pPr>
        <w:spacing w:before="120" w:after="0" w:line="360" w:lineRule="auto"/>
        <w:ind w:hanging="283" w:left="283"/>
        <w:jc w:val="both"/>
      </w:pPr>
      <w:r>
        <w:rPr>
          <w:b w:val="0"/>
          <w:i w:val="0"/>
          <w:sz w:val="24"/>
        </w:rPr>
        <w:t>PIANA, Daniela. Judicial Accountabilities in New Europe: From Rule of Law to Quality of Justice. Farnham: Ashgate, 2010.</w:t>
      </w:r>
    </w:p>
    <w:p>
      <w:pPr>
        <w:spacing w:before="120" w:after="0" w:line="360" w:lineRule="auto"/>
        <w:ind w:hanging="283" w:left="283"/>
        <w:jc w:val="both"/>
      </w:pPr>
      <w:r>
        <w:rPr>
          <w:b w:val="0"/>
          <w:i w:val="0"/>
          <w:sz w:val="24"/>
        </w:rPr>
        <w:t>RAINEY, Hal G. Understanding and Managing Public Organizations. 4. ed. San Francisco: Jossey-Bass, 2009.</w:t>
      </w:r>
    </w:p>
    <w:p>
      <w:pPr>
        <w:spacing w:before="120" w:after="0" w:line="360" w:lineRule="auto"/>
        <w:ind w:hanging="283" w:left="283"/>
        <w:jc w:val="both"/>
      </w:pPr>
      <w:r>
        <w:rPr>
          <w:b w:val="0"/>
          <w:i w:val="0"/>
          <w:sz w:val="24"/>
        </w:rPr>
        <w:t>SENGE, Peter M. The Fifth Discipline: The Art and Practice of the Learning Organization. New York: Doubleday, 1990.</w:t>
      </w:r>
    </w:p>
    <w:p>
      <w:pPr>
        <w:spacing w:before="120" w:after="0" w:line="360" w:lineRule="auto"/>
        <w:ind w:hanging="283" w:left="283"/>
        <w:jc w:val="both"/>
      </w:pPr>
      <w:r>
        <w:rPr>
          <w:b w:val="0"/>
          <w:i w:val="0"/>
          <w:sz w:val="24"/>
        </w:rPr>
        <w:t>SIEMENS, George; BAKER, Ryan S. J. D. Learning Analytics and Educational Data Mining: Towards Communication and Collaboration. Proceedings of the 2nd International Conference on Learning Analytics and Knowledge, p. 252–254, 2013.</w:t>
      </w:r>
    </w:p>
    <w:p>
      <w:pPr>
        <w:spacing w:before="120" w:after="0" w:line="360" w:lineRule="auto"/>
        <w:ind w:hanging="283" w:left="283"/>
        <w:jc w:val="both"/>
      </w:pPr>
      <w:r>
        <w:rPr>
          <w:b w:val="0"/>
          <w:i w:val="0"/>
          <w:sz w:val="24"/>
        </w:rPr>
        <w:t>SMALL, Henry. Co-Citation in the Scientific Literature: A New Measure of the Relationship Between Two Documents. Journal of the American Society for Information Science, v. 24, n. 4, p. 265–269, 1973.</w:t>
      </w:r>
    </w:p>
    <w:p>
      <w:pPr>
        <w:spacing w:before="120" w:after="0" w:line="360" w:lineRule="auto"/>
        <w:ind w:hanging="283" w:left="283"/>
        <w:jc w:val="both"/>
      </w:pPr>
      <w:r>
        <w:rPr>
          <w:b w:val="0"/>
          <w:i w:val="0"/>
          <w:sz w:val="24"/>
        </w:rPr>
        <w:t>SWANSON, Richard A.; HOLTON, Elwood F. Foundations of Human Resource Development. San Francisco: Berrett-Koehler, 2001.</w:t>
      </w:r>
    </w:p>
    <w:p>
      <w:pPr>
        <w:spacing w:before="120" w:after="0" w:line="360" w:lineRule="auto"/>
        <w:ind w:hanging="283" w:left="283"/>
        <w:jc w:val="both"/>
      </w:pPr>
      <w:r>
        <w:rPr>
          <w:b w:val="0"/>
          <w:i w:val="0"/>
          <w:sz w:val="24"/>
        </w:rPr>
        <w:t>ZUPIC, Ivan; ČATER, Tomaž. Bibliometric Methods in Management and Organization. Organizational Research Methods, v. 18, n. 3, p. 429–472, 2015.</w:t>
      </w:r>
    </w:p>
    <w:sectPr w:rsidR="0019531B" w:rsidRPr="00650E01" w:rsidSect="00BF163A">
      <w:type w:val="continuous"/>
      <w:pgSz w:w="11906" w:h="16838" w:code="9"/>
      <w:pgMar w:top="1417" w:right="1701" w:bottom="1417" w:left="1701" w:header="720" w:footer="720" w:gutter="0"/>
      <w:cols w:space="282"/>
      <w:docGrid w:linePitch="272"/>
    </w:sectPr>
    <w:p w14:paraId="5E2A2C91" w14:textId="77777777" w:rsidR="00946990" w:rsidRPr="00650E01" w:rsidRDefault="00946990" w:rsidP="00BE4D31">
      <w:pPr>
        <w:spacing w:before="120" w:after="120"/>
        <w:rPr>
          <w:rFonts w:ascii="Arial" w:hAnsi="Arial" w:cs="Arial"/>
          <w:b/>
          <w:sz w:val="24"/>
          <w:szCs w:val="24"/>
          <w:lang w:val="pt-BR"/>
        </w:rPr>
        <w:sectPr w:rsidR="00946990" w:rsidRPr="00650E01" w:rsidSect="00BF163A">
          <w:headerReference w:type="default" r:id="rId8"/>
          <w:footerReference w:type="default" r:id="rId9"/>
          <w:type w:val="continuous"/>
          <w:pgSz w:w="11906" w:h="16838"/>
          <w:pgMar w:top="1701" w:right="1418" w:bottom="1418" w:left="1418" w:header="567" w:footer="709" w:gutter="0"/>
          <w:cols w:space="720"/>
          <w:docGrid w:linePitch="272"/>
        </w:sectPr>
      </w:pP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B8277" w14:textId="77777777" w:rsidR="00BD0E9A" w:rsidRDefault="00BD0E9A">
      <w:r>
        <w:separator/>
      </w:r>
    </w:p>
  </w:endnote>
  <w:endnote w:type="continuationSeparator" w:id="0">
    <w:p w14:paraId="5605645A" w14:textId="77777777" w:rsidR="00BD0E9A" w:rsidRDefault="00BD0E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EDFFA" w14:textId="77777777" w:rsidR="000362C4" w:rsidRPr="00C2092A" w:rsidRDefault="00F63A83" w:rsidP="00F63A83">
    <w:pPr>
      <w:pStyle w:val="Cabealho"/>
      <w:ind w:left="-737"/>
      <w:rPr>
        <w:i/>
        <w:iCs/>
        <w:color w:val="808080"/>
        <w:sz w:val="18"/>
        <w:szCs w:val="18"/>
        <w:lang w:val="en-US"/>
      </w:rPr>
    </w:pPr>
    <w:proofErr w:type="spellStart"/>
    <w:r w:rsidRPr="00C2092A">
      <w:rPr>
        <w:i/>
        <w:iCs/>
        <w:color w:val="808080"/>
        <w:sz w:val="18"/>
        <w:szCs w:val="18"/>
        <w:lang w:val="en-US"/>
      </w:rPr>
      <w:t>Evento</w:t>
    </w:r>
    <w:proofErr w:type="spellEnd"/>
    <w:r w:rsidRPr="00C2092A">
      <w:rPr>
        <w:i/>
        <w:iCs/>
        <w:color w:val="808080"/>
        <w:sz w:val="18"/>
        <w:szCs w:val="18"/>
        <w:lang w:val="en-US"/>
      </w:rPr>
      <w:t xml:space="preserve"> online </w:t>
    </w:r>
  </w:p>
  <w:p w14:paraId="0BD3723C" w14:textId="5B56DC68" w:rsidR="000362C4" w:rsidRPr="00C2092A" w:rsidRDefault="00AA58F2" w:rsidP="00134464">
    <w:pPr>
      <w:pStyle w:val="Cabealho"/>
      <w:ind w:left="-737"/>
      <w:rPr>
        <w:color w:val="808080"/>
        <w:sz w:val="18"/>
        <w:szCs w:val="18"/>
        <w:lang w:val="en-US"/>
      </w:rPr>
    </w:pPr>
    <w:r w:rsidRPr="00AA58F2">
      <w:rPr>
        <w:color w:val="808080"/>
        <w:sz w:val="18"/>
        <w:szCs w:val="18"/>
        <w:lang w:val="en-US"/>
      </w:rPr>
      <w:t>https://www.even3.com.br/ii-cobpit-491352/</w:t>
    </w:r>
  </w:p>
  <w:p w14:paraId="49D21760" w14:textId="77777777" w:rsidR="000362C4" w:rsidRPr="00C2092A" w:rsidRDefault="000362C4">
    <w:pPr>
      <w:pStyle w:val="Rodap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058C4" w14:textId="77777777" w:rsidR="00BD0E9A" w:rsidRDefault="00BD0E9A">
      <w:r>
        <w:separator/>
      </w:r>
    </w:p>
  </w:footnote>
  <w:footnote w:type="continuationSeparator" w:id="0">
    <w:p w14:paraId="70487AA7" w14:textId="77777777" w:rsidR="00BD0E9A" w:rsidRDefault="00BD0E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15249" w14:textId="15E55390" w:rsidR="000362C4" w:rsidRPr="007B69CD" w:rsidRDefault="00A4509A" w:rsidP="00F63A83">
    <w:pPr>
      <w:pStyle w:val="Cabealho"/>
      <w:spacing w:line="360" w:lineRule="auto"/>
      <w:ind w:left="-737"/>
      <w:rPr>
        <w:i/>
        <w:iCs/>
        <w:color w:val="808080"/>
        <w:lang w:val="pt-BR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13E58D9A" wp14:editId="4F78B545">
              <wp:simplePos x="0" y="0"/>
              <wp:positionH relativeFrom="column">
                <wp:posOffset>4283710</wp:posOffset>
              </wp:positionH>
              <wp:positionV relativeFrom="paragraph">
                <wp:posOffset>-226695</wp:posOffset>
              </wp:positionV>
              <wp:extent cx="1231900" cy="1040130"/>
              <wp:effectExtent l="12065" t="11430" r="13335" b="5715"/>
              <wp:wrapSquare wrapText="bothSides"/>
              <wp:docPr id="79651004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31900" cy="10401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26C369D" w14:textId="0A80A5CB" w:rsidR="00134464" w:rsidRDefault="00522D51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4650C68" wp14:editId="2B63273F">
                                <wp:extent cx="1040130" cy="897255"/>
                                <wp:effectExtent l="0" t="0" r="7620" b="0"/>
                                <wp:docPr id="1715696938" name="Imagem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15696938" name="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040130" cy="89725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E58D9A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left:0;text-align:left;margin-left:337.3pt;margin-top:-17.85pt;width:97pt;height:81.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" strokecolor="white [3212]">
              <v:textbox>
                <w:txbxContent>
                  <w:p w14:paraId="726C369D" w14:textId="0A80A5CB" w:rsidR="00134464" w:rsidRDefault="00522D51">
                    <w:r>
                      <w:rPr>
                        <w:noProof/>
                      </w:rPr>
                      <w:drawing>
                        <wp:inline distT="0" distB="0" distL="0" distR="0" wp14:anchorId="04650C68" wp14:editId="2B63273F">
                          <wp:extent cx="1040130" cy="897255"/>
                          <wp:effectExtent l="0" t="0" r="7620" b="0"/>
                          <wp:docPr id="1715696938" name="Imagem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15696938" name="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40130" cy="89725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F63A83">
      <w:rPr>
        <w:i/>
        <w:iCs/>
        <w:color w:val="808080"/>
        <w:lang w:val="pt-BR"/>
      </w:rPr>
      <w:t xml:space="preserve">Anais do </w:t>
    </w:r>
    <w:proofErr w:type="gramStart"/>
    <w:r w:rsidR="00AA58F2">
      <w:rPr>
        <w:i/>
        <w:iCs/>
        <w:color w:val="808080"/>
        <w:lang w:val="pt-BR"/>
      </w:rPr>
      <w:t>I</w:t>
    </w:r>
    <w:r w:rsidR="00134464">
      <w:rPr>
        <w:i/>
        <w:iCs/>
        <w:color w:val="808080"/>
        <w:lang w:val="pt-BR"/>
      </w:rPr>
      <w:t>I</w:t>
    </w:r>
    <w:r w:rsidR="00522D51">
      <w:rPr>
        <w:i/>
        <w:iCs/>
        <w:color w:val="808080"/>
        <w:lang w:val="pt-BR"/>
      </w:rPr>
      <w:t>I</w:t>
    </w:r>
    <w:r w:rsidR="00134464">
      <w:rPr>
        <w:i/>
        <w:iCs/>
        <w:color w:val="808080"/>
        <w:lang w:val="pt-BR"/>
      </w:rPr>
      <w:t xml:space="preserve"> </w:t>
    </w:r>
    <w:r w:rsidR="000362C4" w:rsidRPr="007B69CD">
      <w:rPr>
        <w:i/>
        <w:iCs/>
        <w:color w:val="808080"/>
        <w:lang w:val="pt-BR"/>
      </w:rPr>
      <w:t xml:space="preserve"> C</w:t>
    </w:r>
    <w:r w:rsidR="00134464">
      <w:rPr>
        <w:i/>
        <w:iCs/>
        <w:color w:val="808080"/>
        <w:lang w:val="pt-BR"/>
      </w:rPr>
      <w:t>OBPIT</w:t>
    </w:r>
    <w:proofErr w:type="gramEnd"/>
    <w:r w:rsidR="000362C4" w:rsidRPr="007B69CD">
      <w:rPr>
        <w:i/>
        <w:iCs/>
        <w:color w:val="808080"/>
        <w:lang w:val="pt-BR"/>
      </w:rPr>
      <w:t xml:space="preserve"> – </w:t>
    </w:r>
    <w:r w:rsidR="000362C4">
      <w:rPr>
        <w:b/>
        <w:bCs/>
        <w:i/>
        <w:iCs/>
        <w:color w:val="808080"/>
        <w:lang w:val="pt-BR"/>
      </w:rPr>
      <w:t>Trabalho completo</w:t>
    </w:r>
  </w:p>
  <w:p w14:paraId="15CE9D21" w14:textId="05447FDC" w:rsidR="000362C4" w:rsidRPr="00134464" w:rsidRDefault="00134464" w:rsidP="00F63A83">
    <w:pPr>
      <w:pStyle w:val="Cabealho"/>
      <w:tabs>
        <w:tab w:val="clear" w:pos="4536"/>
        <w:tab w:val="clear" w:pos="9072"/>
        <w:tab w:val="left" w:pos="4946"/>
      </w:tabs>
      <w:spacing w:line="360" w:lineRule="auto"/>
      <w:ind w:left="-737"/>
      <w:rPr>
        <w:b/>
        <w:bCs/>
        <w:i/>
        <w:iCs/>
        <w:color w:val="808080" w:themeColor="background1" w:themeShade="80"/>
        <w:lang w:val="pt-BR"/>
      </w:rPr>
    </w:pPr>
    <w:r w:rsidRPr="00134464">
      <w:rPr>
        <w:b/>
        <w:bCs/>
        <w:i/>
        <w:iCs/>
        <w:color w:val="808080" w:themeColor="background1" w:themeShade="80"/>
        <w:lang w:val="pt-BR"/>
      </w:rPr>
      <w:t>Congresso Brasileiro de Pesquisa, Inovação Tecnológica</w:t>
    </w:r>
    <w:r>
      <w:rPr>
        <w:b/>
        <w:bCs/>
        <w:i/>
        <w:iCs/>
        <w:color w:val="808080" w:themeColor="background1" w:themeShade="80"/>
        <w:lang w:val="pt-BR"/>
      </w:rPr>
      <w:t xml:space="preserve">    </w:t>
    </w:r>
  </w:p>
  <w:p w14:paraId="2AD2C6AF" w14:textId="7EFA846F" w:rsidR="00134464" w:rsidRPr="00134464" w:rsidRDefault="00134464" w:rsidP="00F63A83">
    <w:pPr>
      <w:pStyle w:val="Cabealho"/>
      <w:tabs>
        <w:tab w:val="clear" w:pos="4536"/>
        <w:tab w:val="clear" w:pos="9072"/>
        <w:tab w:val="left" w:pos="4946"/>
      </w:tabs>
      <w:spacing w:line="360" w:lineRule="auto"/>
      <w:ind w:left="-737"/>
      <w:rPr>
        <w:b/>
        <w:bCs/>
        <w:i/>
        <w:iCs/>
        <w:color w:val="808080" w:themeColor="background1" w:themeShade="80"/>
        <w:lang w:val="pt-BR"/>
      </w:rPr>
    </w:pPr>
    <w:r w:rsidRPr="00134464">
      <w:rPr>
        <w:b/>
        <w:bCs/>
        <w:i/>
        <w:iCs/>
        <w:color w:val="808080" w:themeColor="background1" w:themeShade="80"/>
        <w:lang w:val="pt-BR"/>
      </w:rPr>
      <w:t>e Práticas Pedagógicas</w:t>
    </w:r>
  </w:p>
  <w:p w14:paraId="326EAFF7" w14:textId="638E60FA" w:rsidR="000362C4" w:rsidRPr="00F63A83" w:rsidRDefault="00134464" w:rsidP="00F63A83">
    <w:pPr>
      <w:pStyle w:val="Cabealho"/>
      <w:spacing w:line="360" w:lineRule="auto"/>
      <w:ind w:left="-737"/>
      <w:rPr>
        <w:color w:val="808080"/>
        <w:sz w:val="14"/>
        <w:szCs w:val="14"/>
        <w:lang w:val="pt-BR"/>
      </w:rPr>
    </w:pPr>
    <w:r>
      <w:rPr>
        <w:color w:val="808080"/>
        <w:sz w:val="14"/>
        <w:szCs w:val="14"/>
        <w:lang w:val="pt-BR"/>
      </w:rPr>
      <w:t>1</w:t>
    </w:r>
    <w:r w:rsidR="00522D51">
      <w:rPr>
        <w:color w:val="808080"/>
        <w:sz w:val="14"/>
        <w:szCs w:val="14"/>
        <w:lang w:val="pt-BR"/>
      </w:rPr>
      <w:t>6</w:t>
    </w:r>
    <w:r w:rsidR="00C2092A">
      <w:rPr>
        <w:color w:val="808080"/>
        <w:sz w:val="14"/>
        <w:szCs w:val="14"/>
        <w:lang w:val="pt-BR"/>
      </w:rPr>
      <w:t xml:space="preserve"> a</w:t>
    </w:r>
    <w:r w:rsidR="00ED7914">
      <w:rPr>
        <w:color w:val="808080"/>
        <w:sz w:val="14"/>
        <w:szCs w:val="14"/>
        <w:lang w:val="pt-BR"/>
      </w:rPr>
      <w:t xml:space="preserve"> </w:t>
    </w:r>
    <w:r w:rsidR="00AA58F2">
      <w:rPr>
        <w:color w:val="808080"/>
        <w:sz w:val="14"/>
        <w:szCs w:val="14"/>
        <w:lang w:val="pt-BR"/>
      </w:rPr>
      <w:t>1</w:t>
    </w:r>
    <w:r w:rsidR="00522D51">
      <w:rPr>
        <w:color w:val="808080"/>
        <w:sz w:val="14"/>
        <w:szCs w:val="14"/>
        <w:lang w:val="pt-BR"/>
      </w:rPr>
      <w:t>8</w:t>
    </w:r>
    <w:r w:rsidR="00F63A83" w:rsidRPr="00F63A83">
      <w:rPr>
        <w:color w:val="808080"/>
        <w:sz w:val="14"/>
        <w:szCs w:val="14"/>
        <w:lang w:val="pt-BR"/>
      </w:rPr>
      <w:t xml:space="preserve"> de </w:t>
    </w:r>
    <w:r>
      <w:rPr>
        <w:color w:val="808080"/>
        <w:sz w:val="14"/>
        <w:szCs w:val="14"/>
        <w:lang w:val="pt-BR"/>
      </w:rPr>
      <w:t>julho</w:t>
    </w:r>
    <w:r w:rsidR="00C2092A">
      <w:rPr>
        <w:color w:val="808080"/>
        <w:sz w:val="14"/>
        <w:szCs w:val="14"/>
        <w:lang w:val="pt-BR"/>
      </w:rPr>
      <w:t xml:space="preserve"> </w:t>
    </w:r>
    <w:r w:rsidR="00F63A83" w:rsidRPr="00F63A83">
      <w:rPr>
        <w:color w:val="808080"/>
        <w:sz w:val="14"/>
        <w:szCs w:val="14"/>
        <w:lang w:val="pt-BR"/>
      </w:rPr>
      <w:t>de 202</w:t>
    </w:r>
    <w:r w:rsidR="00522D51">
      <w:rPr>
        <w:color w:val="808080"/>
        <w:sz w:val="14"/>
        <w:szCs w:val="14"/>
        <w:lang w:val="pt-BR"/>
      </w:rPr>
      <w:t>6</w:t>
    </w:r>
  </w:p>
  <w:p w14:paraId="5B615A50" w14:textId="77777777" w:rsidR="00A12347" w:rsidRPr="000362C4" w:rsidRDefault="00A12347" w:rsidP="000362C4">
    <w:pPr>
      <w:pStyle w:val="Cabealho"/>
      <w:rPr>
        <w:szCs w:val="18"/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781C"/>
    <w:multiLevelType w:val="singleLevel"/>
    <w:tmpl w:val="0407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0A3136F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104B462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B332268"/>
    <w:multiLevelType w:val="singleLevel"/>
    <w:tmpl w:val="73A60B28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4" w15:restartNumberingAfterBreak="0">
    <w:nsid w:val="1D591C3F"/>
    <w:multiLevelType w:val="singleLevel"/>
    <w:tmpl w:val="77B49566"/>
    <w:lvl w:ilvl="0">
      <w:start w:val="100"/>
      <w:numFmt w:val="decimal"/>
      <w:lvlText w:val="%1."/>
      <w:lvlJc w:val="left"/>
      <w:pPr>
        <w:tabs>
          <w:tab w:val="num" w:pos="516"/>
        </w:tabs>
        <w:ind w:left="516" w:hanging="516"/>
      </w:pPr>
      <w:rPr>
        <w:rFonts w:hint="default"/>
      </w:rPr>
    </w:lvl>
  </w:abstractNum>
  <w:abstractNum w:abstractNumId="5" w15:restartNumberingAfterBreak="0">
    <w:nsid w:val="26E83B82"/>
    <w:multiLevelType w:val="singleLevel"/>
    <w:tmpl w:val="04070007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sz w:val="16"/>
      </w:rPr>
    </w:lvl>
  </w:abstractNum>
  <w:abstractNum w:abstractNumId="6" w15:restartNumberingAfterBreak="0">
    <w:nsid w:val="30026D0E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30CA0333"/>
    <w:multiLevelType w:val="singleLevel"/>
    <w:tmpl w:val="F670ADA8"/>
    <w:lvl w:ilvl="0">
      <w:numFmt w:val="bullet"/>
      <w:lvlText w:val="-"/>
      <w:lvlJc w:val="left"/>
      <w:pPr>
        <w:tabs>
          <w:tab w:val="num" w:pos="502"/>
        </w:tabs>
        <w:ind w:left="502" w:hanging="360"/>
      </w:pPr>
      <w:rPr>
        <w:rFonts w:hint="default"/>
      </w:rPr>
    </w:lvl>
  </w:abstractNum>
  <w:abstractNum w:abstractNumId="8" w15:restartNumberingAfterBreak="0">
    <w:nsid w:val="3510618A"/>
    <w:multiLevelType w:val="singleLevel"/>
    <w:tmpl w:val="04070007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sz w:val="16"/>
      </w:rPr>
    </w:lvl>
  </w:abstractNum>
  <w:abstractNum w:abstractNumId="9" w15:restartNumberingAfterBreak="0">
    <w:nsid w:val="38967F7A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21610CE"/>
    <w:multiLevelType w:val="singleLevel"/>
    <w:tmpl w:val="04070007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sz w:val="16"/>
      </w:rPr>
    </w:lvl>
  </w:abstractNum>
  <w:abstractNum w:abstractNumId="11" w15:restartNumberingAfterBreak="0">
    <w:nsid w:val="47D91D3A"/>
    <w:multiLevelType w:val="singleLevel"/>
    <w:tmpl w:val="04070007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sz w:val="16"/>
      </w:rPr>
    </w:lvl>
  </w:abstractNum>
  <w:abstractNum w:abstractNumId="12" w15:restartNumberingAfterBreak="0">
    <w:nsid w:val="49917937"/>
    <w:multiLevelType w:val="singleLevel"/>
    <w:tmpl w:val="04090013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3" w15:restartNumberingAfterBreak="0">
    <w:nsid w:val="4A961025"/>
    <w:multiLevelType w:val="hybridMultilevel"/>
    <w:tmpl w:val="F894D4BC"/>
    <w:lvl w:ilvl="0" w:tplc="040E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C63287F"/>
    <w:multiLevelType w:val="singleLevel"/>
    <w:tmpl w:val="F670ADA8"/>
    <w:lvl w:ilvl="0">
      <w:numFmt w:val="bullet"/>
      <w:lvlText w:val="-"/>
      <w:lvlJc w:val="left"/>
      <w:pPr>
        <w:tabs>
          <w:tab w:val="num" w:pos="502"/>
        </w:tabs>
        <w:ind w:left="502" w:hanging="360"/>
      </w:pPr>
      <w:rPr>
        <w:rFonts w:hint="default"/>
      </w:rPr>
    </w:lvl>
  </w:abstractNum>
  <w:abstractNum w:abstractNumId="15" w15:restartNumberingAfterBreak="0">
    <w:nsid w:val="504F1BCD"/>
    <w:multiLevelType w:val="singleLevel"/>
    <w:tmpl w:val="8CDA2D48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6" w15:restartNumberingAfterBreak="0">
    <w:nsid w:val="57187DA2"/>
    <w:multiLevelType w:val="singleLevel"/>
    <w:tmpl w:val="0144E210"/>
    <w:lvl w:ilvl="0">
      <w:start w:val="3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17" w15:restartNumberingAfterBreak="0">
    <w:nsid w:val="582250CF"/>
    <w:multiLevelType w:val="hybridMultilevel"/>
    <w:tmpl w:val="A54CBF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B020D"/>
    <w:multiLevelType w:val="singleLevel"/>
    <w:tmpl w:val="0407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9" w15:restartNumberingAfterBreak="0">
    <w:nsid w:val="611F2778"/>
    <w:multiLevelType w:val="hybridMultilevel"/>
    <w:tmpl w:val="D6DC3BEA"/>
    <w:lvl w:ilvl="0" w:tplc="040E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B621C5"/>
    <w:multiLevelType w:val="hybridMultilevel"/>
    <w:tmpl w:val="66E27638"/>
    <w:lvl w:ilvl="0" w:tplc="040E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3741485"/>
    <w:multiLevelType w:val="singleLevel"/>
    <w:tmpl w:val="D5B8B5D8"/>
    <w:lvl w:ilvl="0">
      <w:numFmt w:val="bullet"/>
      <w:lvlText w:val="-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22" w15:restartNumberingAfterBreak="0">
    <w:nsid w:val="658B5097"/>
    <w:multiLevelType w:val="hybridMultilevel"/>
    <w:tmpl w:val="F7840B08"/>
    <w:lvl w:ilvl="0" w:tplc="FFFFFFFF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6C387D96"/>
    <w:multiLevelType w:val="hybridMultilevel"/>
    <w:tmpl w:val="5F5E1ECC"/>
    <w:lvl w:ilvl="0" w:tplc="040E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1906A9A"/>
    <w:multiLevelType w:val="singleLevel"/>
    <w:tmpl w:val="0407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5" w15:restartNumberingAfterBreak="0">
    <w:nsid w:val="71A63C0D"/>
    <w:multiLevelType w:val="singleLevel"/>
    <w:tmpl w:val="CB46C396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6" w15:restartNumberingAfterBreak="0">
    <w:nsid w:val="743B5ACE"/>
    <w:multiLevelType w:val="singleLevel"/>
    <w:tmpl w:val="180608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352144602">
    <w:abstractNumId w:val="6"/>
  </w:num>
  <w:num w:numId="2" w16cid:durableId="738477081">
    <w:abstractNumId w:val="5"/>
  </w:num>
  <w:num w:numId="3" w16cid:durableId="345866060">
    <w:abstractNumId w:val="8"/>
  </w:num>
  <w:num w:numId="4" w16cid:durableId="1445539476">
    <w:abstractNumId w:val="11"/>
  </w:num>
  <w:num w:numId="5" w16cid:durableId="1970503408">
    <w:abstractNumId w:val="24"/>
  </w:num>
  <w:num w:numId="6" w16cid:durableId="1955011867">
    <w:abstractNumId w:val="25"/>
  </w:num>
  <w:num w:numId="7" w16cid:durableId="1715301509">
    <w:abstractNumId w:val="0"/>
  </w:num>
  <w:num w:numId="8" w16cid:durableId="572736478">
    <w:abstractNumId w:val="10"/>
  </w:num>
  <w:num w:numId="9" w16cid:durableId="2082678713">
    <w:abstractNumId w:val="21"/>
  </w:num>
  <w:num w:numId="10" w16cid:durableId="1363704138">
    <w:abstractNumId w:val="18"/>
  </w:num>
  <w:num w:numId="11" w16cid:durableId="1368751630">
    <w:abstractNumId w:val="16"/>
  </w:num>
  <w:num w:numId="12" w16cid:durableId="419839200">
    <w:abstractNumId w:val="12"/>
  </w:num>
  <w:num w:numId="13" w16cid:durableId="1825773942">
    <w:abstractNumId w:val="2"/>
  </w:num>
  <w:num w:numId="14" w16cid:durableId="326517829">
    <w:abstractNumId w:val="3"/>
  </w:num>
  <w:num w:numId="15" w16cid:durableId="88812576">
    <w:abstractNumId w:val="9"/>
  </w:num>
  <w:num w:numId="16" w16cid:durableId="722825948">
    <w:abstractNumId w:val="7"/>
  </w:num>
  <w:num w:numId="17" w16cid:durableId="565995601">
    <w:abstractNumId w:val="14"/>
  </w:num>
  <w:num w:numId="18" w16cid:durableId="1894273509">
    <w:abstractNumId w:val="15"/>
  </w:num>
  <w:num w:numId="19" w16cid:durableId="1972784808">
    <w:abstractNumId w:val="26"/>
  </w:num>
  <w:num w:numId="20" w16cid:durableId="2020891776">
    <w:abstractNumId w:val="1"/>
  </w:num>
  <w:num w:numId="21" w16cid:durableId="1224678978">
    <w:abstractNumId w:val="22"/>
  </w:num>
  <w:num w:numId="22" w16cid:durableId="522862999">
    <w:abstractNumId w:val="4"/>
  </w:num>
  <w:num w:numId="23" w16cid:durableId="1322588587">
    <w:abstractNumId w:val="13"/>
  </w:num>
  <w:num w:numId="24" w16cid:durableId="1254699976">
    <w:abstractNumId w:val="23"/>
  </w:num>
  <w:num w:numId="25" w16cid:durableId="1963069013">
    <w:abstractNumId w:val="20"/>
  </w:num>
  <w:num w:numId="26" w16cid:durableId="1568032503">
    <w:abstractNumId w:val="19"/>
  </w:num>
  <w:num w:numId="27" w16cid:durableId="131584158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34B"/>
    <w:rsid w:val="000019B1"/>
    <w:rsid w:val="00001EC8"/>
    <w:rsid w:val="00032B91"/>
    <w:rsid w:val="000362C4"/>
    <w:rsid w:val="0003765F"/>
    <w:rsid w:val="00047306"/>
    <w:rsid w:val="000550D5"/>
    <w:rsid w:val="00056447"/>
    <w:rsid w:val="00066E9D"/>
    <w:rsid w:val="00067585"/>
    <w:rsid w:val="00073A18"/>
    <w:rsid w:val="000910C0"/>
    <w:rsid w:val="000C3934"/>
    <w:rsid w:val="000D2C31"/>
    <w:rsid w:val="000F2211"/>
    <w:rsid w:val="00101B30"/>
    <w:rsid w:val="00116359"/>
    <w:rsid w:val="00134464"/>
    <w:rsid w:val="00143910"/>
    <w:rsid w:val="00163993"/>
    <w:rsid w:val="00164BBD"/>
    <w:rsid w:val="0017462A"/>
    <w:rsid w:val="0017757F"/>
    <w:rsid w:val="0019531B"/>
    <w:rsid w:val="001A0F88"/>
    <w:rsid w:val="001B7828"/>
    <w:rsid w:val="001C12C0"/>
    <w:rsid w:val="0020339D"/>
    <w:rsid w:val="002257A5"/>
    <w:rsid w:val="00231618"/>
    <w:rsid w:val="00241A5E"/>
    <w:rsid w:val="00242913"/>
    <w:rsid w:val="0024555C"/>
    <w:rsid w:val="00263687"/>
    <w:rsid w:val="002646DB"/>
    <w:rsid w:val="002650C5"/>
    <w:rsid w:val="0028361F"/>
    <w:rsid w:val="00293F58"/>
    <w:rsid w:val="002B5E5D"/>
    <w:rsid w:val="002C767A"/>
    <w:rsid w:val="002D0C6F"/>
    <w:rsid w:val="002D31F1"/>
    <w:rsid w:val="002D39C0"/>
    <w:rsid w:val="002F145A"/>
    <w:rsid w:val="002F5656"/>
    <w:rsid w:val="002F5951"/>
    <w:rsid w:val="00323551"/>
    <w:rsid w:val="003A0CD0"/>
    <w:rsid w:val="003A1093"/>
    <w:rsid w:val="003A1A27"/>
    <w:rsid w:val="003B1CC8"/>
    <w:rsid w:val="003D634B"/>
    <w:rsid w:val="003D7D92"/>
    <w:rsid w:val="003E70A2"/>
    <w:rsid w:val="00410619"/>
    <w:rsid w:val="004443B1"/>
    <w:rsid w:val="004643AE"/>
    <w:rsid w:val="00474A87"/>
    <w:rsid w:val="00487F46"/>
    <w:rsid w:val="00494EE5"/>
    <w:rsid w:val="004C4C12"/>
    <w:rsid w:val="004D03A7"/>
    <w:rsid w:val="004D2E5D"/>
    <w:rsid w:val="004D5806"/>
    <w:rsid w:val="004F0258"/>
    <w:rsid w:val="004F2BFB"/>
    <w:rsid w:val="004F7806"/>
    <w:rsid w:val="0051356C"/>
    <w:rsid w:val="00522D51"/>
    <w:rsid w:val="00583857"/>
    <w:rsid w:val="005902B1"/>
    <w:rsid w:val="005B5987"/>
    <w:rsid w:val="005D11A2"/>
    <w:rsid w:val="005D3B95"/>
    <w:rsid w:val="005D3BBB"/>
    <w:rsid w:val="005E2945"/>
    <w:rsid w:val="00611AFC"/>
    <w:rsid w:val="00613128"/>
    <w:rsid w:val="00615765"/>
    <w:rsid w:val="00630530"/>
    <w:rsid w:val="00635CCC"/>
    <w:rsid w:val="00643E0A"/>
    <w:rsid w:val="00650E01"/>
    <w:rsid w:val="00690E32"/>
    <w:rsid w:val="00692042"/>
    <w:rsid w:val="006B1DE6"/>
    <w:rsid w:val="006B2A0F"/>
    <w:rsid w:val="006B471C"/>
    <w:rsid w:val="006B7513"/>
    <w:rsid w:val="006B7F2A"/>
    <w:rsid w:val="006C71AD"/>
    <w:rsid w:val="006D6ECB"/>
    <w:rsid w:val="006D710A"/>
    <w:rsid w:val="006E12D8"/>
    <w:rsid w:val="006E1460"/>
    <w:rsid w:val="006E2182"/>
    <w:rsid w:val="006E2624"/>
    <w:rsid w:val="006F5AC7"/>
    <w:rsid w:val="006F762D"/>
    <w:rsid w:val="007048B8"/>
    <w:rsid w:val="0071229A"/>
    <w:rsid w:val="0073209A"/>
    <w:rsid w:val="00734FA4"/>
    <w:rsid w:val="00752B5D"/>
    <w:rsid w:val="007D774C"/>
    <w:rsid w:val="007E292A"/>
    <w:rsid w:val="007E3B09"/>
    <w:rsid w:val="008001D1"/>
    <w:rsid w:val="0080344C"/>
    <w:rsid w:val="00805A73"/>
    <w:rsid w:val="00820EC2"/>
    <w:rsid w:val="008243C8"/>
    <w:rsid w:val="008447E1"/>
    <w:rsid w:val="008B5D29"/>
    <w:rsid w:val="008C57FB"/>
    <w:rsid w:val="008E3075"/>
    <w:rsid w:val="008E3F5F"/>
    <w:rsid w:val="008F5803"/>
    <w:rsid w:val="009111CD"/>
    <w:rsid w:val="00913538"/>
    <w:rsid w:val="00917CE7"/>
    <w:rsid w:val="00927374"/>
    <w:rsid w:val="0093620F"/>
    <w:rsid w:val="00946990"/>
    <w:rsid w:val="009561BD"/>
    <w:rsid w:val="0096067C"/>
    <w:rsid w:val="00977FB7"/>
    <w:rsid w:val="0098384C"/>
    <w:rsid w:val="00995F33"/>
    <w:rsid w:val="009978AB"/>
    <w:rsid w:val="009A20D7"/>
    <w:rsid w:val="009B4867"/>
    <w:rsid w:val="009E472C"/>
    <w:rsid w:val="009F0065"/>
    <w:rsid w:val="00A12347"/>
    <w:rsid w:val="00A27277"/>
    <w:rsid w:val="00A33F6C"/>
    <w:rsid w:val="00A4509A"/>
    <w:rsid w:val="00A60E95"/>
    <w:rsid w:val="00A9796E"/>
    <w:rsid w:val="00AA3CD8"/>
    <w:rsid w:val="00AA58F2"/>
    <w:rsid w:val="00AB3689"/>
    <w:rsid w:val="00AB4F92"/>
    <w:rsid w:val="00AB54DF"/>
    <w:rsid w:val="00AB5564"/>
    <w:rsid w:val="00AC01A7"/>
    <w:rsid w:val="00AC44C8"/>
    <w:rsid w:val="00AE4470"/>
    <w:rsid w:val="00AE6E5C"/>
    <w:rsid w:val="00AE752E"/>
    <w:rsid w:val="00B074F6"/>
    <w:rsid w:val="00B57D03"/>
    <w:rsid w:val="00BA0926"/>
    <w:rsid w:val="00BA6C7F"/>
    <w:rsid w:val="00BC5ABC"/>
    <w:rsid w:val="00BD0E9A"/>
    <w:rsid w:val="00BD2B9C"/>
    <w:rsid w:val="00BD30AD"/>
    <w:rsid w:val="00BE4D31"/>
    <w:rsid w:val="00BE66DB"/>
    <w:rsid w:val="00BE7BB5"/>
    <w:rsid w:val="00BF163A"/>
    <w:rsid w:val="00BF735D"/>
    <w:rsid w:val="00C106F7"/>
    <w:rsid w:val="00C16A5F"/>
    <w:rsid w:val="00C17DB8"/>
    <w:rsid w:val="00C2092A"/>
    <w:rsid w:val="00C24F16"/>
    <w:rsid w:val="00C2630F"/>
    <w:rsid w:val="00C26BBA"/>
    <w:rsid w:val="00C333BE"/>
    <w:rsid w:val="00C40089"/>
    <w:rsid w:val="00C40932"/>
    <w:rsid w:val="00C40C54"/>
    <w:rsid w:val="00C61A29"/>
    <w:rsid w:val="00C70765"/>
    <w:rsid w:val="00C90476"/>
    <w:rsid w:val="00CC73DA"/>
    <w:rsid w:val="00CE0BB3"/>
    <w:rsid w:val="00D052B2"/>
    <w:rsid w:val="00D36948"/>
    <w:rsid w:val="00D46245"/>
    <w:rsid w:val="00D53D44"/>
    <w:rsid w:val="00D72A77"/>
    <w:rsid w:val="00D75192"/>
    <w:rsid w:val="00D9172C"/>
    <w:rsid w:val="00DA1700"/>
    <w:rsid w:val="00DB0642"/>
    <w:rsid w:val="00DB4FFE"/>
    <w:rsid w:val="00DC37BC"/>
    <w:rsid w:val="00DC5E42"/>
    <w:rsid w:val="00DE0271"/>
    <w:rsid w:val="00DF0CBB"/>
    <w:rsid w:val="00DF3670"/>
    <w:rsid w:val="00E03883"/>
    <w:rsid w:val="00E0392F"/>
    <w:rsid w:val="00E348EF"/>
    <w:rsid w:val="00E500B8"/>
    <w:rsid w:val="00E5152B"/>
    <w:rsid w:val="00E62984"/>
    <w:rsid w:val="00E7713E"/>
    <w:rsid w:val="00E847A5"/>
    <w:rsid w:val="00E94256"/>
    <w:rsid w:val="00E95812"/>
    <w:rsid w:val="00EB00D9"/>
    <w:rsid w:val="00EB2188"/>
    <w:rsid w:val="00EB374E"/>
    <w:rsid w:val="00EB67F7"/>
    <w:rsid w:val="00EB732E"/>
    <w:rsid w:val="00ED4028"/>
    <w:rsid w:val="00ED4A25"/>
    <w:rsid w:val="00ED4FE1"/>
    <w:rsid w:val="00ED7914"/>
    <w:rsid w:val="00EF7F14"/>
    <w:rsid w:val="00F20833"/>
    <w:rsid w:val="00F364BB"/>
    <w:rsid w:val="00F63A83"/>
    <w:rsid w:val="00F76A8B"/>
    <w:rsid w:val="00F80913"/>
    <w:rsid w:val="00F82AAC"/>
    <w:rsid w:val="00F85701"/>
    <w:rsid w:val="00F867FE"/>
    <w:rsid w:val="00F87BE3"/>
    <w:rsid w:val="00F927D5"/>
    <w:rsid w:val="00F9655D"/>
    <w:rsid w:val="00FB3B01"/>
    <w:rsid w:val="00FC42D1"/>
    <w:rsid w:val="00FC4B3C"/>
    <w:rsid w:val="00FD44CA"/>
    <w:rsid w:val="00FE6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AA78A0E"/>
  <w15:docId w15:val="{66D7E2B9-D89F-4397-A636-01423B9EE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913"/>
    <w:rPr>
      <w:lang w:val="en-GB" w:eastAsia="hu-HU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</w:rPr>
  </w:style>
  <w:style w:type="paragraph" w:styleId="Ttulo3">
    <w:name w:val="heading 3"/>
    <w:basedOn w:val="Normal"/>
    <w:next w:val="Normal"/>
    <w:qFormat/>
    <w:rsid w:val="00BA6C7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BA6C7F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caps/>
      <w:lang w:val="de-DE" w:eastAsia="en-US"/>
    </w:rPr>
  </w:style>
  <w:style w:type="character" w:styleId="Hyperlink">
    <w:name w:val="Hyperlink"/>
    <w:rsid w:val="00615765"/>
    <w:rPr>
      <w:rFonts w:ascii="Verdana" w:hAnsi="Verdana" w:hint="default"/>
      <w:strike w:val="0"/>
      <w:dstrike w:val="0"/>
      <w:color w:val="000000"/>
      <w:sz w:val="20"/>
      <w:szCs w:val="20"/>
      <w:u w:val="none"/>
      <w:effect w:val="none"/>
    </w:rPr>
  </w:style>
  <w:style w:type="paragraph" w:styleId="Recuodecorpodetexto2">
    <w:name w:val="Body Text Indent 2"/>
    <w:basedOn w:val="Normal"/>
    <w:rsid w:val="00BA6C7F"/>
    <w:pPr>
      <w:spacing w:before="120"/>
      <w:ind w:left="1134"/>
      <w:jc w:val="both"/>
    </w:pPr>
    <w:rPr>
      <w:szCs w:val="24"/>
      <w:lang w:val="en-US"/>
    </w:rPr>
  </w:style>
  <w:style w:type="paragraph" w:styleId="Recuodecorpodetexto3">
    <w:name w:val="Body Text Indent 3"/>
    <w:basedOn w:val="Normal"/>
    <w:rsid w:val="00BA6C7F"/>
    <w:pPr>
      <w:spacing w:before="120"/>
      <w:ind w:left="1260"/>
      <w:jc w:val="both"/>
    </w:pPr>
    <w:rPr>
      <w:szCs w:val="24"/>
      <w:lang w:val="hu-HU"/>
    </w:rPr>
  </w:style>
  <w:style w:type="paragraph" w:styleId="Legenda">
    <w:name w:val="caption"/>
    <w:basedOn w:val="Normal"/>
    <w:next w:val="Normal"/>
    <w:qFormat/>
    <w:rsid w:val="00BA6C7F"/>
    <w:pPr>
      <w:spacing w:before="120"/>
      <w:ind w:left="851"/>
      <w:jc w:val="both"/>
    </w:pPr>
    <w:rPr>
      <w:i/>
      <w:iCs/>
      <w:szCs w:val="24"/>
      <w:lang w:val="en-US"/>
    </w:rPr>
  </w:style>
  <w:style w:type="character" w:customStyle="1" w:styleId="goohl1">
    <w:name w:val="goohl1"/>
    <w:basedOn w:val="Fontepargpadro"/>
    <w:rsid w:val="00BA6C7F"/>
  </w:style>
  <w:style w:type="paragraph" w:styleId="Corpodetexto3">
    <w:name w:val="Body Text 3"/>
    <w:basedOn w:val="Normal"/>
    <w:rsid w:val="008243C8"/>
    <w:pPr>
      <w:spacing w:after="120"/>
    </w:pPr>
    <w:rPr>
      <w:sz w:val="16"/>
      <w:szCs w:val="16"/>
    </w:rPr>
  </w:style>
  <w:style w:type="paragraph" w:styleId="Recuodecorpodetexto">
    <w:name w:val="Body Text Indent"/>
    <w:basedOn w:val="Normal"/>
    <w:rsid w:val="008F5803"/>
    <w:pPr>
      <w:spacing w:after="120"/>
      <w:ind w:left="283"/>
    </w:pPr>
  </w:style>
  <w:style w:type="table" w:styleId="Tabelacomgrade">
    <w:name w:val="Table Grid"/>
    <w:basedOn w:val="Tabelanormal"/>
    <w:rsid w:val="009135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rsid w:val="00116359"/>
    <w:pPr>
      <w:tabs>
        <w:tab w:val="center" w:pos="4536"/>
        <w:tab w:val="right" w:pos="9072"/>
      </w:tabs>
    </w:pPr>
  </w:style>
  <w:style w:type="paragraph" w:styleId="Rodap">
    <w:name w:val="footer"/>
    <w:basedOn w:val="Normal"/>
    <w:rsid w:val="00116359"/>
    <w:pPr>
      <w:tabs>
        <w:tab w:val="center" w:pos="4536"/>
        <w:tab w:val="right" w:pos="9072"/>
      </w:tabs>
    </w:pPr>
  </w:style>
  <w:style w:type="paragraph" w:styleId="Textodebalo">
    <w:name w:val="Balloon Text"/>
    <w:basedOn w:val="Normal"/>
    <w:semiHidden/>
    <w:rsid w:val="009561BD"/>
    <w:rPr>
      <w:rFonts w:ascii="Tahoma" w:hAnsi="Tahoma" w:cs="Tahoma"/>
      <w:sz w:val="16"/>
      <w:szCs w:val="16"/>
    </w:rPr>
  </w:style>
  <w:style w:type="paragraph" w:customStyle="1" w:styleId="Item">
    <w:name w:val="Item"/>
    <w:basedOn w:val="Normal"/>
    <w:rsid w:val="000910C0"/>
    <w:pPr>
      <w:tabs>
        <w:tab w:val="right" w:pos="397"/>
        <w:tab w:val="left" w:pos="510"/>
      </w:tabs>
      <w:spacing w:after="120"/>
      <w:ind w:left="510" w:hanging="510"/>
    </w:pPr>
    <w:rPr>
      <w:sz w:val="24"/>
      <w:lang w:eastAsia="en-US"/>
    </w:rPr>
  </w:style>
  <w:style w:type="paragraph" w:styleId="PargrafodaLista">
    <w:name w:val="List Paragraph"/>
    <w:basedOn w:val="Normal"/>
    <w:uiPriority w:val="34"/>
    <w:qFormat/>
    <w:rsid w:val="0019531B"/>
    <w:pPr>
      <w:spacing w:after="41" w:line="236" w:lineRule="auto"/>
      <w:ind w:left="720" w:hanging="10"/>
      <w:contextualSpacing/>
      <w:jc w:val="both"/>
    </w:pPr>
    <w:rPr>
      <w:color w:val="000000"/>
      <w:sz w:val="22"/>
      <w:szCs w:val="22"/>
      <w:lang w:val="fr-FR" w:eastAsia="fr-FR"/>
    </w:rPr>
  </w:style>
  <w:style w:type="character" w:styleId="MenoPendente">
    <w:name w:val="Unresolved Mention"/>
    <w:basedOn w:val="Fontepargpadro"/>
    <w:uiPriority w:val="99"/>
    <w:semiHidden/>
    <w:unhideWhenUsed/>
    <w:rsid w:val="001344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93C509E-531A-4186-8C98-8FF8B212A3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672</Words>
  <Characters>3634</Characters>
  <Application>Microsoft Office Word</Application>
  <DocSecurity>0</DocSecurity>
  <Lines>30</Lines>
  <Paragraphs>8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>Abstract template for the IDS 2006</vt:lpstr>
      <vt:lpstr>Abstract template for the IDS 2006</vt:lpstr>
      <vt:lpstr>Abstract template for the IDS 2006</vt:lpstr>
    </vt:vector>
  </TitlesOfParts>
  <Company>SZIE FFT</Company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Abstract template for the IDS 2006</dc:title>
  <dc:creator>dr. Seres István</dc:creator>
  <cp:lastModifiedBy>Daniele Fernanda da Silva</cp:lastModifiedBy>
  <cp:revision>2</cp:revision>
  <cp:lastPrinted>2006-01-16T13:53:00Z</cp:lastPrinted>
  <dcterms:created xsi:type="dcterms:W3CDTF">2025-12-02T14:41:00Z</dcterms:created>
  <dcterms:modified xsi:type="dcterms:W3CDTF">2025-12-02T14:41:00Z</dcterms:modified>
</cp:coreProperties>
</file>