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标准文件可靠性报告</w:t>
      </w:r>
    </w:p>
    <w:p>
      <w:pPr>
        <w:spacing w:after="300"/>
        <w:jc w:val="center"/>
      </w:pPr>
      <w:r>
        <w:rPr>
          <w:color w:val="888888"/>
          <w:sz w:val="18"/>
          <w:szCs w:val="18"/>
        </w:rPr>
        <w:t xml:space="preserve">木材蓄积量与出材量计算器 | 更新:2026-05-29</w:t>
      </w:r>
    </w:p>
    <w:p>
      <w:pPr>
        <w:pStyle w:val="Heading1"/>
      </w:pPr>
      <w:r>
        <w:t xml:space="preserve">已获取标准文件 (12个)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900"/>
        <w:gridCol w:w="600"/>
        <w:gridCol w:w="700"/>
        <w:gridCol w:w="22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标准号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省份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可靠性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DB35/T 1823-2019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福建省主要树种二元立木材积表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福建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4个公式可提取，文本层清晰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DB51/T 1466-2012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马尾松二元立木材积表、单木出材率表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四川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全文749KB。B.1出材率表153点提取，查表验证通过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DB51/T 2918-2022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森林抚育与主伐技术规程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四川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FDIS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634KB，FDIS草案版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DB52/T 703-2011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人工马尾松二元立木材积表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贵州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低质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54KB，文字层残缺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DB52/T 822-2013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软阔二元立木材积表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贵州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813KB，已下载全文12页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DB52/T 826-2013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硬阔二元立木材积表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贵州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812KB，已下载全文12页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DB53/T 1422.1-2025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云南松二元立木材积表(天然/人工)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云南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OCR+回归R²&gt;0.99。天然/人工分开建模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DB34/T 3345-2019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马尾松立木材积表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安徽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FDIS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203KB草案版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LY/T 2102-2013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二元立木材积表编制技术规程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国家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不完整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仅4页预览版，正式版16页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贵州杉木马尾松材积参考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贵州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从江县政府公开文件84KB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马尾松二元立木材积表(xlsx)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本地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首选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用户实际使用表，150个表值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四川柳杉二元立木材积表(xlsx)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本地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首选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用户实际使用表，80个表值</w:t>
            </w:r>
          </w:p>
        </w:tc>
      </w:tr>
    </w:tbl>
    <w:p>
      <w:pPr>
        <w:pStyle w:val="Heading1"/>
      </w:pPr>
      <w:r>
        <w:t xml:space="preserve">材积公式来源</w:t>
      </w:r>
    </w:p>
    <w:p>
      <w:pPr>
        <w:spacing w:after="60"/>
      </w:pPr>
      <w:r>
        <w:rPr>
          <w:color w:val="666666"/>
          <w:sz w:val="18"/>
          <w:szCs w:val="18"/>
        </w:rPr>
        <w:t xml:space="preserve">二元立木材积公式 V = a × D^b × H^c。马尾松和柳杉采用用户本地实际表回归参数，其余树种采用标准参数。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树种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公式参数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验证状态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马尾松(本地表)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a=0.00005897 b=1.87910 c=0.97502 R²=0.992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150点回归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柳杉(本地表)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a=0.00007384 b=1.97962 c=0.83635 R²=0.992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80点回归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柏木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a=0.00006879 b=1.59357 c=1.17673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DB51/T 1467 7点查表验证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杉木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a=0.00005878 b=1.96998 c=0.89646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LY208-77/DB51/T 1464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云南松(天然·2025)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a=0.00007454 b=1.84603 c=0.92169 R²=0.994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DB53/T 1422.1 78点回归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云南松(人工·2025)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a=0.00005697 b=1.99101 c=0.84139 R²=0.992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DB53/T 1422.1 56点回归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其他树种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LY208-77部标参数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可靠性中等</w:t>
            </w:r>
          </w:p>
        </w:tc>
      </w:tr>
    </w:tbl>
    <w:p>
      <w:pPr>
        <w:pStyle w:val="Heading1"/>
      </w:pPr>
      <w:r>
        <w:t xml:space="preserve">出材率数据</w:t>
      </w:r>
    </w:p>
    <w:p>
      <w:pPr>
        <w:spacing w:after="60"/>
      </w:pPr>
      <w:r>
        <w:rPr>
          <w:color w:val="666666"/>
          <w:sz w:val="18"/>
          <w:szCs w:val="18"/>
        </w:rPr>
        <w:t xml:space="preserve">出材率非固定值，随胸径(D)和树高(H)变化。马尾松采用DB51/T 1466 B.1表153点回归的动态模型(R²=0.977，平均误差0.26%)。其他树种无标准出材率表，按林学规律从马尾松等比缩放。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树种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26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出材率模型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经济材(%) = 69.20 + 0.1840×D + 0.3443×H (DB51 B.1 153点)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杉木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马尾松模型 × 0.94 (标准缺失)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柏木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马尾松模型 × 0.94 (DB51 B.1仅5点参考)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柳杉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马尾松模型 × 0.90 (标准缺失)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阔叶类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马尾松模型 × 0.75~0.80 (标准缺失)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应用内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支持自定义综合出材率，填入即覆盖动态模型</w:t>
            </w:r>
          </w:p>
        </w:tc>
      </w:tr>
    </w:tbl>
    <w:p>
      <w:pPr>
        <w:pStyle w:val="Heading1"/>
      </w:pPr>
      <w:r>
        <w:t xml:space="preserve">关键发现</w:t>
      </w:r>
    </w:p>
    <w:p>
      <w:pPr>
        <w:spacing w:after="40" w:before="40"/>
      </w:pPr>
      <w:r>
        <w:rPr>
          <w:sz w:val="18"/>
          <w:szCs w:val="18"/>
        </w:rPr>
        <w:t xml:space="preserve">1. DB51/T 1466 马尾松是唯一完整获取的出材率标准，153点实测数据。</w:t>
      </w:r>
    </w:p>
    <w:p>
      <w:pPr>
        <w:spacing w:after="40" w:before="40"/>
      </w:pPr>
      <w:r>
        <w:rPr>
          <w:sz w:val="18"/>
          <w:szCs w:val="18"/>
        </w:rPr>
        <w:t xml:space="preserve">2. DB51/T 1467 柏木 B.1 出材率表仅获取5点摘要(D=14~18)，不足以独立建模。</w:t>
      </w:r>
    </w:p>
    <w:p>
      <w:pPr>
        <w:spacing w:after="40" w:before="40"/>
      </w:pPr>
      <w:r>
        <w:rPr>
          <w:sz w:val="18"/>
          <w:szCs w:val="18"/>
        </w:rPr>
        <w:t xml:space="preserve">3. DB51/T 1464(杉木)、DB51/T 1462(柳杉)出材率表未获取——需付费购买标准全文。</w:t>
      </w:r>
    </w:p>
    <w:p>
      <w:pPr>
        <w:spacing w:after="40" w:before="40"/>
      </w:pPr>
      <w:r>
        <w:rPr>
          <w:sz w:val="18"/>
          <w:szCs w:val="18"/>
        </w:rPr>
        <w:t xml:space="preserve">4. 省级标准(DB51/DB52)不在任何国际免费平台(GitHub/ResearchGate/Sci-Hub/archive.org)。</w:t>
      </w:r>
    </w:p>
    <w:p>
      <w:pPr>
        <w:spacing w:after="40" w:before="40"/>
      </w:pPr>
      <w:r>
        <w:rPr>
          <w:sz w:val="18"/>
          <w:szCs w:val="18"/>
        </w:rPr>
        <w:t xml:space="preserve">5. 晏场镇2018公示数据(杉木/柳杉85%)为行政配额值，非实测科学数据，已弃用。</w:t>
      </w:r>
    </w:p>
    <w:p>
      <w:pPr>
        <w:spacing w:after="40" w:before="40"/>
      </w:pPr>
      <w:r>
        <w:rPr>
          <w:sz w:val="18"/>
          <w:szCs w:val="18"/>
        </w:rPr>
        <w:t xml:space="preserve">6. 2025年DB51系列被废止但数据仍有效；DB53/T 1422.1为2025年云南松新标。</w:t>
      </w:r>
    </w:p>
    <w:p>
      <w:pPr>
        <w:spacing w:before="400"/>
        <w:jc w:val="center"/>
      </w:pPr>
      <w:r>
        <w:rPr>
          <w:i/>
          <w:iCs/>
          <w:color w:val="999999"/>
          <w:sz w:val="15"/>
          <w:szCs w:val="15"/>
        </w:rPr>
        <w:t xml:space="preserve">报告生成日期：2026-05-29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a3a2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1a3a2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65a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2026-05-29T13:51:00.889Z</dcterms:created>
  <dcterms:modified xsi:type="dcterms:W3CDTF">2026-05-29T13:51:00.890Z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