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D1" w:rsidRDefault="00567AE8" w:rsidP="004B18D1">
      <w:pPr>
        <w:pStyle w:val="Titre1"/>
      </w:pPr>
      <w:r>
        <w:t>Projet</w:t>
      </w:r>
      <w:bookmarkStart w:id="0" w:name="_GoBack"/>
      <w:bookmarkEnd w:id="0"/>
      <w:r w:rsidR="00772C14">
        <w:t xml:space="preserve"> </w:t>
      </w:r>
      <w:r w:rsidR="00BA5D65">
        <w:t>Narrativité</w:t>
      </w:r>
      <w:r w:rsidR="008F56D0">
        <w:t> : paroles, textes, images</w:t>
      </w:r>
    </w:p>
    <w:p w:rsidR="004B18D1" w:rsidRDefault="004B18D1"/>
    <w:p w:rsidR="00BA5D65" w:rsidRDefault="00A92948">
      <w:r>
        <w:t>Nous examinons différents types de « récits en images », en Europe</w:t>
      </w:r>
      <w:r w:rsidR="00DE26E4">
        <w:t xml:space="preserve"> et en Asie</w:t>
      </w:r>
      <w:r w:rsidR="00772C14">
        <w:t xml:space="preserve"> </w:t>
      </w:r>
      <w:r w:rsidR="00DE26E4">
        <w:t>(</w:t>
      </w:r>
      <w:r>
        <w:t>Chine</w:t>
      </w:r>
      <w:r w:rsidR="00DE26E4">
        <w:t>, Inde, Japon, Tibet)</w:t>
      </w:r>
      <w:r w:rsidR="008F56D0">
        <w:t xml:space="preserve"> confrontés à leur</w:t>
      </w:r>
      <w:r>
        <w:t xml:space="preserve"> source textuelle, et étudiés</w:t>
      </w:r>
      <w:r w:rsidR="00FB7E7B">
        <w:t xml:space="preserve"> quand c’est possible</w:t>
      </w:r>
      <w:r>
        <w:t xml:space="preserve"> dans leur contexte </w:t>
      </w:r>
      <w:r w:rsidR="00FB7E7B">
        <w:t>vivant</w:t>
      </w:r>
      <w:r>
        <w:t xml:space="preserve">. </w:t>
      </w:r>
      <w:r w:rsidR="00DC4516">
        <w:t>Cette perspective ne prétend aucunement subordonner les arts figuratifs aux textes, ni réduire la s</w:t>
      </w:r>
      <w:r w:rsidR="002C3B08">
        <w:t>pécific</w:t>
      </w:r>
      <w:r w:rsidR="00DC4516">
        <w:t>ité de chaque ‘support’, mais elle souhaite se donner une méthode comparative précisément afin d’essayer de déterminer ce qui dans chaque domaine lui</w:t>
      </w:r>
      <w:r w:rsidR="002C3B08">
        <w:t xml:space="preserve"> est propre, et ce qui reste comparable.</w:t>
      </w:r>
    </w:p>
    <w:p w:rsidR="00A92948" w:rsidRDefault="00A92948">
      <w:r>
        <w:t>Le projet est donc organisé sur deux axes, l’axe de</w:t>
      </w:r>
      <w:r w:rsidR="00FB7E7B">
        <w:t>s ‘supports narratifs’</w:t>
      </w:r>
      <w:r>
        <w:t> : texte, série d’images, et dans certains cas récits théâtralisé</w:t>
      </w:r>
      <w:r w:rsidR="00DE26E4">
        <w:t>s</w:t>
      </w:r>
      <w:r>
        <w:t xml:space="preserve">, </w:t>
      </w:r>
      <w:r w:rsidR="00FB7E7B">
        <w:t>et l’axe ‘culturel’</w:t>
      </w:r>
      <w:r>
        <w:t xml:space="preserve"> puisque </w:t>
      </w:r>
      <w:r w:rsidR="00DE26E4">
        <w:t>l’étude</w:t>
      </w:r>
      <w:r>
        <w:t xml:space="preserve"> sera mené</w:t>
      </w:r>
      <w:r w:rsidR="00DE26E4">
        <w:t>e</w:t>
      </w:r>
      <w:r>
        <w:t xml:space="preserve"> dans des cultures différentes. </w:t>
      </w:r>
      <w:r w:rsidR="00FB7E7B">
        <w:t>N</w:t>
      </w:r>
      <w:r>
        <w:t xml:space="preserve">ous avons rassemblé des chercheurs et des étudiants ou post-doc </w:t>
      </w:r>
      <w:r w:rsidR="001E4268">
        <w:t>spécialistes de</w:t>
      </w:r>
      <w:r>
        <w:t xml:space="preserve"> ces cultures et qui</w:t>
      </w:r>
      <w:r w:rsidR="001E4268">
        <w:t xml:space="preserve"> appartiennent à des champs disciplinaires variés : anthropologie, histoire, histoire de l’art, linguistique, littérature</w:t>
      </w:r>
      <w:r>
        <w:t>.</w:t>
      </w:r>
    </w:p>
    <w:p w:rsidR="00A92948" w:rsidRDefault="00A92948">
      <w:r>
        <w:t>Nous allons (1.) exposer les questions que pose la « mise en images » d’une histoire, (2.) présenter</w:t>
      </w:r>
      <w:r w:rsidR="0044275B">
        <w:t xml:space="preserve"> l’équipe et</w:t>
      </w:r>
      <w:r>
        <w:t xml:space="preserve"> chacun des sous-projets, (3.) </w:t>
      </w:r>
      <w:r w:rsidR="004B18D1">
        <w:t>indiquer</w:t>
      </w:r>
      <w:r w:rsidR="006371CC">
        <w:t>sous quelles formes nous souhaitons donner no</w:t>
      </w:r>
      <w:r>
        <w:t>s résultats.</w:t>
      </w:r>
    </w:p>
    <w:p w:rsidR="00BA0A6D" w:rsidRDefault="00BA0A6D" w:rsidP="0034109F">
      <w:pPr>
        <w:pStyle w:val="Sous-titre"/>
      </w:pPr>
      <w:r>
        <w:t>1. La « mise en image » des histoires.</w:t>
      </w:r>
    </w:p>
    <w:p w:rsidR="00BA0A6D" w:rsidRDefault="002C3B08">
      <w:r>
        <w:rPr>
          <w:noProof/>
          <w:lang w:eastAsia="fr-FR"/>
        </w:rPr>
        <w:drawing>
          <wp:anchor distT="0" distB="0" distL="114300" distR="114300" simplePos="0" relativeHeight="251656192" behindDoc="0" locked="0" layoutInCell="1" allowOverlap="1">
            <wp:simplePos x="0" y="0"/>
            <wp:positionH relativeFrom="column">
              <wp:posOffset>3643630</wp:posOffset>
            </wp:positionH>
            <wp:positionV relativeFrom="paragraph">
              <wp:posOffset>2637155</wp:posOffset>
            </wp:positionV>
            <wp:extent cx="2009775" cy="2066925"/>
            <wp:effectExtent l="19050" t="0" r="9525" b="0"/>
            <wp:wrapSquare wrapText="bothSides"/>
            <wp:docPr id="1" name="Image 0" descr="Grisel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selda.jpg"/>
                    <pic:cNvPicPr/>
                  </pic:nvPicPr>
                  <pic:blipFill>
                    <a:blip r:embed="rId4" cstate="print">
                      <a:lum contrast="20000"/>
                    </a:blip>
                    <a:stretch>
                      <a:fillRect/>
                    </a:stretch>
                  </pic:blipFill>
                  <pic:spPr>
                    <a:xfrm>
                      <a:off x="0" y="0"/>
                      <a:ext cx="2009775" cy="2066925"/>
                    </a:xfrm>
                    <a:prstGeom prst="rect">
                      <a:avLst/>
                    </a:prstGeom>
                  </pic:spPr>
                </pic:pic>
              </a:graphicData>
            </a:graphic>
          </wp:anchor>
        </w:drawing>
      </w:r>
      <w:r>
        <w:rPr>
          <w:noProof/>
          <w:lang w:eastAsia="fr-FR"/>
        </w:rPr>
        <w:drawing>
          <wp:anchor distT="0" distB="0" distL="114300" distR="114300" simplePos="0" relativeHeight="251655168" behindDoc="0" locked="0" layoutInCell="1" allowOverlap="1">
            <wp:simplePos x="0" y="0"/>
            <wp:positionH relativeFrom="column">
              <wp:posOffset>14605</wp:posOffset>
            </wp:positionH>
            <wp:positionV relativeFrom="paragraph">
              <wp:posOffset>103505</wp:posOffset>
            </wp:positionV>
            <wp:extent cx="2569210" cy="1933575"/>
            <wp:effectExtent l="19050" t="0" r="2540" b="0"/>
            <wp:wrapSquare wrapText="bothSides"/>
            <wp:docPr id="2" name="Image 1" descr="ProjetNarrat-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Narrat-1p.jpg"/>
                    <pic:cNvPicPr/>
                  </pic:nvPicPr>
                  <pic:blipFill>
                    <a:blip r:embed="rId5" cstate="print"/>
                    <a:stretch>
                      <a:fillRect/>
                    </a:stretch>
                  </pic:blipFill>
                  <pic:spPr>
                    <a:xfrm>
                      <a:off x="0" y="0"/>
                      <a:ext cx="2569210" cy="1933575"/>
                    </a:xfrm>
                    <a:prstGeom prst="rect">
                      <a:avLst/>
                    </a:prstGeom>
                  </pic:spPr>
                </pic:pic>
              </a:graphicData>
            </a:graphic>
          </wp:anchor>
        </w:drawing>
      </w:r>
      <w:r w:rsidR="00AA3160">
        <w:t xml:space="preserve">Certaines « histoires » (légendes, biographies, épisodes romanesques etc.) ont été </w:t>
      </w:r>
      <w:r w:rsidR="001E4268">
        <w:t>‘</w:t>
      </w:r>
      <w:r w:rsidR="00AA3160">
        <w:t>raconté</w:t>
      </w:r>
      <w:r w:rsidR="00086E25">
        <w:t>e</w:t>
      </w:r>
      <w:r w:rsidR="00AA3160">
        <w:t>s en images</w:t>
      </w:r>
      <w:r w:rsidR="001E4268">
        <w:t>’</w:t>
      </w:r>
      <w:r w:rsidR="00AA3160">
        <w:t xml:space="preserve">, et l’on parle alors d’images ou de séries d’images narratives. </w:t>
      </w:r>
      <w:r w:rsidR="00DE26E4">
        <w:t>Par exemple,</w:t>
      </w:r>
      <w:r w:rsidR="00860BCD">
        <w:t>la coupole de</w:t>
      </w:r>
      <w:r w:rsidR="00925DEB">
        <w:t xml:space="preserve"> la Genèse, à</w:t>
      </w:r>
      <w:r w:rsidR="00860BCD">
        <w:t xml:space="preserve"> Saint-Marc de Venise</w:t>
      </w:r>
      <w:r w:rsidR="00925DEB">
        <w:t>,</w:t>
      </w:r>
      <w:r w:rsidR="00860BCD">
        <w:t xml:space="preserve"> « raconte » en 24 images l’histoire </w:t>
      </w:r>
      <w:r w:rsidR="00DE26E4">
        <w:t>narrée</w:t>
      </w:r>
      <w:r w:rsidR="00860BCD">
        <w:t xml:space="preserve"> dans la Bible.</w:t>
      </w:r>
      <w:r w:rsidR="00086E25">
        <w:t xml:space="preserve"> Pour les histoires </w:t>
      </w:r>
      <w:r w:rsidR="006247F4" w:rsidRPr="00B564FF">
        <w:t>vétéro- </w:t>
      </w:r>
      <w:r w:rsidR="00086E25">
        <w:t xml:space="preserve">ou néo-testamentaires, non seulement nous possédons des textes et leur tradition, mais aussi un immense corpus de cycles d’images. Toutefois, </w:t>
      </w:r>
      <w:r w:rsidR="001704EF">
        <w:t>si les cycles iconographiques  ont été étudiés en tant que série d’unités (</w:t>
      </w:r>
      <w:r w:rsidR="001E4268">
        <w:t>avec un goût érudit pour l’identification de chaque épisode</w:t>
      </w:r>
      <w:r w:rsidR="001704EF">
        <w:t xml:space="preserve">), il est rare qu’on ait étudié </w:t>
      </w:r>
      <w:r w:rsidR="00DE26E4">
        <w:t>les séries comme une succession</w:t>
      </w:r>
      <w:r w:rsidR="001704EF">
        <w:t xml:space="preserve"> d’épisodes </w:t>
      </w:r>
      <w:r w:rsidR="00664E7C">
        <w:t>composant une histoire ;</w:t>
      </w:r>
      <w:r w:rsidR="001704EF">
        <w:t xml:space="preserve"> rare qu’on ait comparé la façon dont l’histoire est segmentée sur les deux « supports »</w:t>
      </w:r>
      <w:r w:rsidR="00664E7C">
        <w:t> ;</w:t>
      </w:r>
      <w:r w:rsidR="001704EF">
        <w:t xml:space="preserve"> plus rare encore qu’on se soit demandé</w:t>
      </w:r>
      <w:r w:rsidR="00925DEB">
        <w:t xml:space="preserve"> (et qu’on ait cherché à vérifier)</w:t>
      </w:r>
      <w:r w:rsidR="001704EF">
        <w:t xml:space="preserve"> si la série d’images parvient à elle seule à « raconter l’histoire » et donc est vraiment narrative.</w:t>
      </w:r>
    </w:p>
    <w:p w:rsidR="00086E25" w:rsidRDefault="005A67D1">
      <w:r>
        <w:t xml:space="preserve">Au château Sforza de Milan est conservée une chambre peinte dont les murs « racontent » en </w:t>
      </w:r>
      <w:r w:rsidR="00664E7C">
        <w:t>24 images l’histoire de Griselda</w:t>
      </w:r>
      <w:r w:rsidR="00925DEB">
        <w:t xml:space="preserve"> qui se trouve dans le </w:t>
      </w:r>
      <w:r w:rsidR="00DE26E4" w:rsidRPr="00DE26E4">
        <w:rPr>
          <w:i/>
        </w:rPr>
        <w:t>Décaméron</w:t>
      </w:r>
      <w:r w:rsidR="00925DEB">
        <w:t xml:space="preserve"> de Boccace</w:t>
      </w:r>
      <w:r w:rsidR="00664E7C">
        <w:t xml:space="preserve">. Il est certain que </w:t>
      </w:r>
      <w:r w:rsidR="00DE26E4">
        <w:t>cette série</w:t>
      </w:r>
      <w:r w:rsidR="00664E7C">
        <w:t xml:space="preserve"> est incompréhensible sans le texte ; à vrai dire, il est assez difficile de saisir la succession des </w:t>
      </w:r>
      <w:r w:rsidR="00664E7C">
        <w:lastRenderedPageBreak/>
        <w:t xml:space="preserve">épisodes même quand on connaît bien l’histoire. </w:t>
      </w:r>
    </w:p>
    <w:p w:rsidR="00285B9B" w:rsidRDefault="00285B9B">
      <w:r>
        <w:t xml:space="preserve">Dans la plupart des cas, la série d’images n’est pas </w:t>
      </w:r>
      <w:r w:rsidR="00DE26E4">
        <w:t>exactement narrative, dans la</w:t>
      </w:r>
      <w:r>
        <w:t xml:space="preserve"> mesure où elle ne suff</w:t>
      </w:r>
      <w:r w:rsidR="00925DEB">
        <w:t>it pas au visiteur pour</w:t>
      </w:r>
      <w:r>
        <w:t xml:space="preserve"> comprendre le lien entre les scènes successives</w:t>
      </w:r>
      <w:r w:rsidR="007727FC">
        <w:t xml:space="preserve"> du récit-source</w:t>
      </w:r>
      <w:r>
        <w:t xml:space="preserve">, encore moins les enjeux qui courent d’un bout à l’autre. </w:t>
      </w:r>
      <w:r w:rsidR="001E4268">
        <w:t>C</w:t>
      </w:r>
      <w:r w:rsidR="00DE26E4">
        <w:t>es images so</w:t>
      </w:r>
      <w:r>
        <w:t>nt</w:t>
      </w:r>
      <w:r w:rsidR="001E4268">
        <w:t xml:space="preserve"> du reste</w:t>
      </w:r>
      <w:r>
        <w:t xml:space="preserve"> souvent conçues pour être commentées</w:t>
      </w:r>
      <w:r w:rsidR="003D68FC">
        <w:t xml:space="preserve"> (le débat en Occident médiéval sur le caractère ancillaire ou pédagogique des images est bien connu)</w:t>
      </w:r>
      <w:r>
        <w:t>, ou accompagnées de légendes écrites ; parfois même elles accompagnent le texte qu’elles illustrent</w:t>
      </w:r>
      <w:r w:rsidR="00DE26E4">
        <w:t>.C</w:t>
      </w:r>
      <w:r>
        <w:t>es « contextes », au sens propre, sont importants</w:t>
      </w:r>
      <w:r w:rsidR="00DE26E4">
        <w:t xml:space="preserve"> pour l’intelligence des séries</w:t>
      </w:r>
      <w:r>
        <w:t xml:space="preserve"> et leur </w:t>
      </w:r>
      <w:r w:rsidR="00E43E2F">
        <w:t>disposition</w:t>
      </w:r>
      <w:r>
        <w:t>. L’importance relative, dans l’image, du jeu des personnages et du décor</w:t>
      </w:r>
      <w:r w:rsidR="007727FC">
        <w:t xml:space="preserve"> où ils sont représentés</w:t>
      </w:r>
      <w:r>
        <w:t xml:space="preserve"> varie</w:t>
      </w:r>
      <w:r w:rsidR="00925DEB">
        <w:t xml:space="preserve"> aussi</w:t>
      </w:r>
      <w:r>
        <w:t xml:space="preserve"> très sensiblement selon les traditions culturelles et les types de représentations figurées.</w:t>
      </w:r>
    </w:p>
    <w:p w:rsidR="00482732" w:rsidRDefault="002637D1">
      <w:r>
        <w:t>De ce fait</w:t>
      </w:r>
      <w:r w:rsidR="00482732">
        <w:t xml:space="preserve">, </w:t>
      </w:r>
      <w:r>
        <w:t>les image</w:t>
      </w:r>
      <w:r w:rsidR="00482732">
        <w:t xml:space="preserve">s découpent l’histoire en épisodes, </w:t>
      </w:r>
      <w:r>
        <w:t>la</w:t>
      </w:r>
      <w:r w:rsidR="00482732">
        <w:t xml:space="preserve"> scandent beaucoup plus nettement que le font en général les textes écrits</w:t>
      </w:r>
      <w:r w:rsidR="007727FC">
        <w:t xml:space="preserve"> d’origine</w:t>
      </w:r>
      <w:r w:rsidR="00482732">
        <w:t xml:space="preserve">. </w:t>
      </w:r>
      <w:r>
        <w:t>Il est donc intéressant de comparer ces deux scansions, et leur organisation.</w:t>
      </w:r>
      <w:r w:rsidR="00E43E2F">
        <w:t xml:space="preserve"> Cela s’est fait dans une certaine mesure pour les films</w:t>
      </w:r>
      <w:r w:rsidR="00925DEB">
        <w:t xml:space="preserve"> tirés</w:t>
      </w:r>
      <w:r w:rsidR="00E43E2F">
        <w:t xml:space="preserve"> d’</w:t>
      </w:r>
      <w:r w:rsidR="007727FC">
        <w:t>œuvres</w:t>
      </w:r>
      <w:r w:rsidR="00E43E2F">
        <w:t xml:space="preserve"> littéraires.</w:t>
      </w:r>
      <w:r w:rsidR="00772C14">
        <w:t xml:space="preserve"> </w:t>
      </w:r>
      <w:r w:rsidR="00E43E2F">
        <w:t xml:space="preserve">Meyer </w:t>
      </w:r>
      <w:proofErr w:type="spellStart"/>
      <w:r w:rsidR="00E43E2F">
        <w:t>Schapiro</w:t>
      </w:r>
      <w:proofErr w:type="spellEnd"/>
      <w:r w:rsidR="00E43E2F">
        <w:t xml:space="preserve"> (1996)</w:t>
      </w:r>
      <w:r>
        <w:t xml:space="preserve"> a étudié l’incursion de l’écrit dans les images, avec les prodromes d’une typologie. Dans la préface du livre de </w:t>
      </w:r>
      <w:proofErr w:type="spellStart"/>
      <w:r>
        <w:t>Schapiro</w:t>
      </w:r>
      <w:proofErr w:type="spellEnd"/>
      <w:r>
        <w:t xml:space="preserve">, Hubert </w:t>
      </w:r>
      <w:proofErr w:type="spellStart"/>
      <w:r>
        <w:t>Damisch</w:t>
      </w:r>
      <w:proofErr w:type="spellEnd"/>
      <w:r>
        <w:t xml:space="preserve"> écrivait :</w:t>
      </w:r>
    </w:p>
    <w:p w:rsidR="002637D1" w:rsidRDefault="002637D1" w:rsidP="002637D1">
      <w:pPr>
        <w:ind w:left="283"/>
        <w:rPr>
          <w:i/>
        </w:rPr>
      </w:pPr>
      <w:r w:rsidRPr="00E16FDA">
        <w:rPr>
          <w:i/>
        </w:rPr>
        <w:t xml:space="preserve">Il a semblé, pendant un temps finalement très court, que Benveniste avait su formuler, mieux que tout autre, le problème qui serait celui d’une sémiologie de la peinture, là à tout le moins où « les scènes figurées sont la transposition iconique de récits ou de paraboles et reproduisent une verbalisation initiale » : « Le véritable problème sémiologique, qui à notre connaissance n’a pas encore été posé, serait de rechercher COMMENT s’effectue cette transposition d’une énonciation verbale en une représentation iconique, quelles sont les correspondances possibles d’un système à un autre et dans quelle mesure cette confrontation se laisserait poursuivre jusqu’à la détermination de correspondances entre SIGNES distincts. » </w:t>
      </w:r>
    </w:p>
    <w:p w:rsidR="002637D1" w:rsidRDefault="00E35B52" w:rsidP="002637D1">
      <w:r>
        <w:rPr>
          <w:noProof/>
          <w:lang w:eastAsia="fr-FR"/>
        </w:rPr>
        <w:drawing>
          <wp:anchor distT="0" distB="0" distL="114300" distR="114300" simplePos="0" relativeHeight="251660288" behindDoc="1" locked="0" layoutInCell="1" allowOverlap="1">
            <wp:simplePos x="0" y="0"/>
            <wp:positionH relativeFrom="column">
              <wp:posOffset>14605</wp:posOffset>
            </wp:positionH>
            <wp:positionV relativeFrom="paragraph">
              <wp:posOffset>1668145</wp:posOffset>
            </wp:positionV>
            <wp:extent cx="1895475" cy="2124075"/>
            <wp:effectExtent l="19050" t="0" r="9525" b="0"/>
            <wp:wrapTight wrapText="bothSides">
              <wp:wrapPolygon edited="0">
                <wp:start x="-217" y="0"/>
                <wp:lineTo x="-217" y="21503"/>
                <wp:lineTo x="21709" y="21503"/>
                <wp:lineTo x="21709" y="0"/>
                <wp:lineTo x="-217" y="0"/>
              </wp:wrapPolygon>
            </wp:wrapTight>
            <wp:docPr id="5" name="Image 4" descr="buch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hen2.jpg"/>
                    <pic:cNvPicPr/>
                  </pic:nvPicPr>
                  <pic:blipFill>
                    <a:blip r:embed="rId6" cstate="print"/>
                    <a:stretch>
                      <a:fillRect/>
                    </a:stretch>
                  </pic:blipFill>
                  <pic:spPr>
                    <a:xfrm>
                      <a:off x="0" y="0"/>
                      <a:ext cx="1895475" cy="2124075"/>
                    </a:xfrm>
                    <a:prstGeom prst="rect">
                      <a:avLst/>
                    </a:prstGeom>
                  </pic:spPr>
                </pic:pic>
              </a:graphicData>
            </a:graphic>
          </wp:anchor>
        </w:drawing>
      </w:r>
      <w:r w:rsidR="002637D1">
        <w:t>Sans aller jusqu’à la recherche de ces transpositions de signes linguistiques en signes iconiques qu’évoque Benveniste,</w:t>
      </w:r>
      <w:r w:rsidR="00E43E2F">
        <w:t xml:space="preserve"> les formalistes, puis les </w:t>
      </w:r>
      <w:proofErr w:type="spellStart"/>
      <w:r w:rsidR="00E43E2F">
        <w:t>narratologues</w:t>
      </w:r>
      <w:proofErr w:type="spellEnd"/>
      <w:r w:rsidR="00E43E2F">
        <w:t xml:space="preserve"> ont également tenté d’éclaircir </w:t>
      </w:r>
      <w:r w:rsidR="002637D1">
        <w:t xml:space="preserve"> le problème des « unités de récit ». </w:t>
      </w:r>
      <w:r w:rsidR="00E43E2F">
        <w:t xml:space="preserve">L’idée féconde de Benveniste </w:t>
      </w:r>
      <w:r w:rsidR="002637D1">
        <w:t>est qu’il est imprudent de ne chercher des « unités d’hist</w:t>
      </w:r>
      <w:r w:rsidR="00E43E2F">
        <w:t>oire » que sur un seul support, car</w:t>
      </w:r>
      <w:r w:rsidR="002637D1">
        <w:t xml:space="preserve"> on risque d</w:t>
      </w:r>
      <w:r w:rsidR="00E43E2F">
        <w:t>’y découvrirsurtout les contraintes im</w:t>
      </w:r>
      <w:r w:rsidR="002637D1">
        <w:t xml:space="preserve">posées par le support </w:t>
      </w:r>
      <w:r w:rsidR="00E43E2F">
        <w:t>(</w:t>
      </w:r>
      <w:r w:rsidR="002637D1">
        <w:t>récit oral, récit écrit, « narration en images » etc.</w:t>
      </w:r>
      <w:r w:rsidR="00E43E2F">
        <w:t>)</w:t>
      </w:r>
      <w:r w:rsidR="00AB42BB">
        <w:t>Le rapprochement d</w:t>
      </w:r>
      <w:r w:rsidR="002637D1">
        <w:t xml:space="preserve">es traitements d’une « même » </w:t>
      </w:r>
      <w:r w:rsidR="007F0474">
        <w:t>h</w:t>
      </w:r>
      <w:r w:rsidR="00AB42BB">
        <w:t>istoire sur plusieurs supports,devrait permettre</w:t>
      </w:r>
      <w:r w:rsidR="007F0474">
        <w:t>, par la comparaison des rythmes et des scansions, de découvrir des unités communes, et peut-être des procédés de composition assez comparables pour qu’on puisse en décrire les différences.</w:t>
      </w:r>
    </w:p>
    <w:p w:rsidR="007F0474" w:rsidRDefault="00AB42BB" w:rsidP="002637D1">
      <w:r>
        <w:t>U</w:t>
      </w:r>
      <w:r w:rsidR="007F0474">
        <w:t>n récit</w:t>
      </w:r>
      <w:r>
        <w:t xml:space="preserve"> peut aussi</w:t>
      </w:r>
      <w:r w:rsidR="007F0474">
        <w:t xml:space="preserve"> se fige</w:t>
      </w:r>
      <w:r>
        <w:t>r</w:t>
      </w:r>
      <w:r w:rsidR="007F0474">
        <w:t xml:space="preserve"> dans une scansion ensuite répétée de copie en copie. </w:t>
      </w:r>
      <w:r w:rsidR="00925DEB">
        <w:t>Inversement, l</w:t>
      </w:r>
      <w:r w:rsidR="007F0474">
        <w:t>ors</w:t>
      </w:r>
      <w:r w:rsidR="0038543E">
        <w:t>qu’un guide touristique raconte</w:t>
      </w:r>
      <w:r w:rsidR="007F0474">
        <w:t xml:space="preserve"> à </w:t>
      </w:r>
      <w:r w:rsidR="00CC23A7">
        <w:t>la basilique d’Assise</w:t>
      </w:r>
      <w:r w:rsidR="007F0474">
        <w:t xml:space="preserve"> la succession des</w:t>
      </w:r>
      <w:r w:rsidR="00DC50A0">
        <w:t xml:space="preserve"> 28</w:t>
      </w:r>
      <w:r w:rsidR="007F0474">
        <w:t xml:space="preserve"> scènes peintes par </w:t>
      </w:r>
      <w:r w:rsidR="00CC23A7">
        <w:t>Giotto</w:t>
      </w:r>
      <w:r w:rsidR="00DC50A0">
        <w:t xml:space="preserve"> pour raconter la vie de saint François</w:t>
      </w:r>
      <w:r w:rsidR="00CC23A7">
        <w:t xml:space="preserve">, il leur rend </w:t>
      </w:r>
      <w:r>
        <w:t>un rythme oral</w:t>
      </w:r>
      <w:r w:rsidR="00CC23A7">
        <w:t xml:space="preserve"> différent de la scansion peinte</w:t>
      </w:r>
      <w:r>
        <w:t> ;</w:t>
      </w:r>
      <w:r w:rsidR="007727FC">
        <w:t>la manière varie selon le public et le guide</w:t>
      </w:r>
      <w:r>
        <w:t>.L</w:t>
      </w:r>
      <w:r w:rsidR="00CC23A7">
        <w:t xml:space="preserve">e prédicateur japonais qui </w:t>
      </w:r>
      <w:r w:rsidR="003655AB">
        <w:t>utilise</w:t>
      </w:r>
      <w:r w:rsidR="00CC23A7">
        <w:t xml:space="preserve"> un rouleau peint pour dire son récit s’affranchit </w:t>
      </w:r>
      <w:r w:rsidR="00DC50A0">
        <w:t xml:space="preserve">lui aussi </w:t>
      </w:r>
      <w:r w:rsidR="00CC23A7">
        <w:t xml:space="preserve">du rythme des images. Le </w:t>
      </w:r>
      <w:r>
        <w:t>conteur</w:t>
      </w:r>
      <w:r w:rsidR="00CC23A7">
        <w:t xml:space="preserve"> qui, dans l’Himalaya occidental</w:t>
      </w:r>
      <w:r w:rsidR="00DC50A0">
        <w:t xml:space="preserve">, s’appuie sur </w:t>
      </w:r>
      <w:r>
        <w:t>une unique peinture portable</w:t>
      </w:r>
      <w:r w:rsidR="002C3B08">
        <w:t xml:space="preserve"> (ci-contre)</w:t>
      </w:r>
      <w:r>
        <w:t>, comportant de multiples scènes,</w:t>
      </w:r>
      <w:r w:rsidR="00DC50A0">
        <w:t xml:space="preserve"> pour raconter la vie exemplaire d’un saint personnage, recompose aussi son histoire. </w:t>
      </w:r>
      <w:r>
        <w:t xml:space="preserve">Au Potala de </w:t>
      </w:r>
      <w:r>
        <w:lastRenderedPageBreak/>
        <w:t>Lhassa,</w:t>
      </w:r>
      <w:r w:rsidR="00DC50A0">
        <w:t>une floraison d’images</w:t>
      </w:r>
      <w:r w:rsidR="00FE1CD2">
        <w:t xml:space="preserve"> de la fin du</w:t>
      </w:r>
      <w:r w:rsidR="00DC50A0">
        <w:t xml:space="preserve"> XVIIe siècle retrace la vie </w:t>
      </w:r>
      <w:r w:rsidR="00012354">
        <w:t>magnifié</w:t>
      </w:r>
      <w:r w:rsidR="00DC50A0">
        <w:t>e du 5</w:t>
      </w:r>
      <w:r w:rsidR="00DC50A0" w:rsidRPr="00DC50A0">
        <w:rPr>
          <w:vertAlign w:val="superscript"/>
        </w:rPr>
        <w:t>e</w:t>
      </w:r>
      <w:r w:rsidR="00DC50A0">
        <w:t>Dalaï Lama</w:t>
      </w:r>
      <w:r w:rsidR="00012354">
        <w:t xml:space="preserve"> avec</w:t>
      </w:r>
      <w:r w:rsidR="0038543E">
        <w:t xml:space="preserve"> des rythmes</w:t>
      </w:r>
      <w:r w:rsidR="00DC50A0">
        <w:t xml:space="preserve"> probablement différents de </w:t>
      </w:r>
      <w:r w:rsidR="00012354">
        <w:t>sonauto</w:t>
      </w:r>
      <w:r w:rsidR="00925DEB">
        <w:t>biographie. Les</w:t>
      </w:r>
      <w:r w:rsidR="00DC50A0">
        <w:t xml:space="preserve"> Vie</w:t>
      </w:r>
      <w:r w:rsidR="00925DEB">
        <w:t>s</w:t>
      </w:r>
      <w:r w:rsidR="00DC50A0">
        <w:t xml:space="preserve"> du Bouddha illustrée</w:t>
      </w:r>
      <w:r w:rsidR="00925DEB">
        <w:t>s</w:t>
      </w:r>
      <w:r w:rsidR="00012354">
        <w:t>dans le monde indien</w:t>
      </w:r>
      <w:r w:rsidR="00DC50A0">
        <w:t xml:space="preserve"> par des sculptures</w:t>
      </w:r>
      <w:r w:rsidR="0038543E">
        <w:t>,</w:t>
      </w:r>
      <w:r w:rsidR="00DC50A0">
        <w:t xml:space="preserve"> reprenant les épisodes fam</w:t>
      </w:r>
      <w:r w:rsidR="00012354">
        <w:t>eux de son parcours initiatique</w:t>
      </w:r>
      <w:r w:rsidR="0038543E">
        <w:t>, s’appuie</w:t>
      </w:r>
      <w:r w:rsidR="00925DEB">
        <w:t>nt</w:t>
      </w:r>
      <w:r w:rsidR="00DC50A0">
        <w:t xml:space="preserve"> également sur des textes pali, mais ne s’arrêtent pas à une glose étroite.</w:t>
      </w:r>
    </w:p>
    <w:p w:rsidR="00555DB9" w:rsidRDefault="00555DB9" w:rsidP="0034109F">
      <w:pPr>
        <w:pStyle w:val="Sous-titre"/>
      </w:pPr>
      <w:r>
        <w:t xml:space="preserve">2. </w:t>
      </w:r>
      <w:r w:rsidR="007B1A78">
        <w:t>L</w:t>
      </w:r>
      <w:r w:rsidR="0044275B">
        <w:t xml:space="preserve">’équipe et </w:t>
      </w:r>
      <w:r>
        <w:t>les sous-projets, d’est en ouest.</w:t>
      </w:r>
    </w:p>
    <w:tbl>
      <w:tblPr>
        <w:tblStyle w:val="Grilledutableau"/>
        <w:tblW w:w="0" w:type="auto"/>
        <w:tblLook w:val="04A0"/>
      </w:tblPr>
      <w:tblGrid>
        <w:gridCol w:w="577"/>
        <w:gridCol w:w="1991"/>
        <w:gridCol w:w="766"/>
        <w:gridCol w:w="1703"/>
        <w:gridCol w:w="1361"/>
        <w:gridCol w:w="2272"/>
      </w:tblGrid>
      <w:tr w:rsidR="007B06D0" w:rsidTr="007B06D0">
        <w:tc>
          <w:tcPr>
            <w:tcW w:w="577" w:type="dxa"/>
          </w:tcPr>
          <w:p w:rsidR="007B06D0" w:rsidRPr="0044275B" w:rsidRDefault="007B06D0" w:rsidP="002637D1">
            <w:pPr>
              <w:rPr>
                <w:sz w:val="20"/>
                <w:szCs w:val="20"/>
              </w:rPr>
            </w:pPr>
          </w:p>
        </w:tc>
        <w:tc>
          <w:tcPr>
            <w:tcW w:w="1991" w:type="dxa"/>
          </w:tcPr>
          <w:p w:rsidR="007B06D0" w:rsidRPr="0044275B" w:rsidRDefault="007B06D0" w:rsidP="0044275B">
            <w:pPr>
              <w:jc w:val="center"/>
              <w:rPr>
                <w:sz w:val="20"/>
                <w:szCs w:val="20"/>
              </w:rPr>
            </w:pPr>
            <w:r w:rsidRPr="0044275B">
              <w:rPr>
                <w:sz w:val="20"/>
                <w:szCs w:val="20"/>
              </w:rPr>
              <w:t>prénom et nom</w:t>
            </w:r>
          </w:p>
        </w:tc>
        <w:tc>
          <w:tcPr>
            <w:tcW w:w="766" w:type="dxa"/>
          </w:tcPr>
          <w:p w:rsidR="007B06D0" w:rsidRPr="0044275B" w:rsidRDefault="007B06D0" w:rsidP="0044275B">
            <w:pPr>
              <w:jc w:val="center"/>
              <w:rPr>
                <w:sz w:val="20"/>
                <w:szCs w:val="20"/>
              </w:rPr>
            </w:pPr>
            <w:r w:rsidRPr="0044275B">
              <w:rPr>
                <w:sz w:val="20"/>
                <w:szCs w:val="20"/>
              </w:rPr>
              <w:t>grade</w:t>
            </w:r>
          </w:p>
        </w:tc>
        <w:tc>
          <w:tcPr>
            <w:tcW w:w="1703" w:type="dxa"/>
          </w:tcPr>
          <w:p w:rsidR="007B06D0" w:rsidRPr="0044275B" w:rsidRDefault="007B06D0" w:rsidP="0044275B">
            <w:pPr>
              <w:jc w:val="center"/>
              <w:rPr>
                <w:sz w:val="20"/>
                <w:szCs w:val="20"/>
              </w:rPr>
            </w:pPr>
            <w:r>
              <w:rPr>
                <w:sz w:val="20"/>
                <w:szCs w:val="20"/>
              </w:rPr>
              <w:t>établissement</w:t>
            </w:r>
          </w:p>
        </w:tc>
        <w:tc>
          <w:tcPr>
            <w:tcW w:w="1361" w:type="dxa"/>
          </w:tcPr>
          <w:p w:rsidR="007B06D0" w:rsidRPr="0044275B" w:rsidRDefault="007B06D0" w:rsidP="0044275B">
            <w:pPr>
              <w:jc w:val="center"/>
              <w:rPr>
                <w:sz w:val="20"/>
                <w:szCs w:val="20"/>
              </w:rPr>
            </w:pPr>
            <w:r>
              <w:rPr>
                <w:sz w:val="20"/>
                <w:szCs w:val="20"/>
              </w:rPr>
              <w:t>équipe</w:t>
            </w:r>
          </w:p>
        </w:tc>
        <w:tc>
          <w:tcPr>
            <w:tcW w:w="2272" w:type="dxa"/>
          </w:tcPr>
          <w:p w:rsidR="007B06D0" w:rsidRPr="0044275B" w:rsidRDefault="007B06D0" w:rsidP="0044275B">
            <w:pPr>
              <w:jc w:val="center"/>
              <w:rPr>
                <w:sz w:val="20"/>
                <w:szCs w:val="20"/>
              </w:rPr>
            </w:pPr>
            <w:r w:rsidRPr="0044275B">
              <w:rPr>
                <w:sz w:val="20"/>
                <w:szCs w:val="20"/>
              </w:rPr>
              <w:t>spécialité</w:t>
            </w:r>
          </w:p>
        </w:tc>
      </w:tr>
      <w:tr w:rsidR="007B06D0" w:rsidTr="007B06D0">
        <w:tc>
          <w:tcPr>
            <w:tcW w:w="577" w:type="dxa"/>
          </w:tcPr>
          <w:p w:rsidR="007B06D0" w:rsidRPr="0044275B" w:rsidRDefault="007B06D0" w:rsidP="0045046D">
            <w:pPr>
              <w:rPr>
                <w:sz w:val="20"/>
                <w:szCs w:val="20"/>
              </w:rPr>
            </w:pPr>
            <w:r w:rsidRPr="0044275B">
              <w:rPr>
                <w:sz w:val="20"/>
                <w:szCs w:val="20"/>
              </w:rPr>
              <w:t>PD</w:t>
            </w:r>
          </w:p>
        </w:tc>
        <w:tc>
          <w:tcPr>
            <w:tcW w:w="1991" w:type="dxa"/>
          </w:tcPr>
          <w:p w:rsidR="007B06D0" w:rsidRPr="0044275B" w:rsidRDefault="007B06D0" w:rsidP="0045046D">
            <w:pPr>
              <w:rPr>
                <w:sz w:val="20"/>
                <w:szCs w:val="20"/>
              </w:rPr>
            </w:pPr>
            <w:r w:rsidRPr="0044275B">
              <w:rPr>
                <w:sz w:val="20"/>
                <w:szCs w:val="20"/>
              </w:rPr>
              <w:t>Pascale Dollfus</w:t>
            </w:r>
          </w:p>
        </w:tc>
        <w:tc>
          <w:tcPr>
            <w:tcW w:w="766" w:type="dxa"/>
          </w:tcPr>
          <w:p w:rsidR="007B06D0" w:rsidRPr="0044275B" w:rsidRDefault="007B06D0" w:rsidP="0045046D">
            <w:pPr>
              <w:rPr>
                <w:sz w:val="20"/>
                <w:szCs w:val="20"/>
              </w:rPr>
            </w:pPr>
            <w:r w:rsidRPr="0044275B">
              <w:rPr>
                <w:sz w:val="20"/>
                <w:szCs w:val="20"/>
              </w:rPr>
              <w:t>CR</w:t>
            </w:r>
          </w:p>
        </w:tc>
        <w:tc>
          <w:tcPr>
            <w:tcW w:w="1703" w:type="dxa"/>
          </w:tcPr>
          <w:p w:rsidR="007B06D0" w:rsidRPr="0044275B" w:rsidRDefault="007B06D0" w:rsidP="0045046D">
            <w:pPr>
              <w:rPr>
                <w:sz w:val="20"/>
                <w:szCs w:val="20"/>
              </w:rPr>
            </w:pPr>
            <w:r w:rsidRPr="0044275B">
              <w:rPr>
                <w:sz w:val="20"/>
                <w:szCs w:val="20"/>
              </w:rPr>
              <w:t>Cnrs</w:t>
            </w:r>
          </w:p>
        </w:tc>
        <w:tc>
          <w:tcPr>
            <w:tcW w:w="1361" w:type="dxa"/>
          </w:tcPr>
          <w:p w:rsidR="007B06D0" w:rsidRDefault="007B06D0" w:rsidP="0045046D">
            <w:pPr>
              <w:rPr>
                <w:sz w:val="20"/>
                <w:szCs w:val="20"/>
              </w:rPr>
            </w:pPr>
            <w:r w:rsidRPr="0044275B">
              <w:rPr>
                <w:sz w:val="20"/>
                <w:szCs w:val="20"/>
              </w:rPr>
              <w:t>UPR299</w:t>
            </w:r>
            <w:r w:rsidR="00F126F9">
              <w:rPr>
                <w:sz w:val="20"/>
                <w:szCs w:val="20"/>
              </w:rPr>
              <w:t>-CEH</w:t>
            </w:r>
          </w:p>
        </w:tc>
        <w:tc>
          <w:tcPr>
            <w:tcW w:w="2272" w:type="dxa"/>
          </w:tcPr>
          <w:p w:rsidR="007B06D0" w:rsidRPr="0044275B" w:rsidRDefault="007B06D0" w:rsidP="0045046D">
            <w:pPr>
              <w:rPr>
                <w:sz w:val="20"/>
                <w:szCs w:val="20"/>
              </w:rPr>
            </w:pPr>
            <w:r>
              <w:rPr>
                <w:sz w:val="20"/>
                <w:szCs w:val="20"/>
              </w:rPr>
              <w:t>anthropologie, Himalaya</w:t>
            </w:r>
          </w:p>
        </w:tc>
      </w:tr>
      <w:tr w:rsidR="007B06D0" w:rsidTr="007B06D0">
        <w:tc>
          <w:tcPr>
            <w:tcW w:w="577" w:type="dxa"/>
          </w:tcPr>
          <w:p w:rsidR="007B06D0" w:rsidRPr="0044275B" w:rsidRDefault="007B06D0" w:rsidP="0045046D">
            <w:pPr>
              <w:rPr>
                <w:sz w:val="20"/>
                <w:szCs w:val="20"/>
              </w:rPr>
            </w:pPr>
            <w:r w:rsidRPr="0044275B">
              <w:rPr>
                <w:sz w:val="20"/>
                <w:szCs w:val="20"/>
              </w:rPr>
              <w:t>VDD</w:t>
            </w:r>
          </w:p>
        </w:tc>
        <w:tc>
          <w:tcPr>
            <w:tcW w:w="1991" w:type="dxa"/>
          </w:tcPr>
          <w:p w:rsidR="007B06D0" w:rsidRPr="0044275B" w:rsidRDefault="007B06D0" w:rsidP="0045046D">
            <w:pPr>
              <w:rPr>
                <w:sz w:val="20"/>
                <w:szCs w:val="20"/>
              </w:rPr>
            </w:pPr>
            <w:r w:rsidRPr="0044275B">
              <w:rPr>
                <w:sz w:val="20"/>
                <w:szCs w:val="20"/>
              </w:rPr>
              <w:t>Vincent Durand-</w:t>
            </w:r>
            <w:proofErr w:type="spellStart"/>
            <w:r w:rsidRPr="0044275B">
              <w:rPr>
                <w:sz w:val="20"/>
                <w:szCs w:val="20"/>
              </w:rPr>
              <w:t>Dastès</w:t>
            </w:r>
            <w:proofErr w:type="spellEnd"/>
          </w:p>
        </w:tc>
        <w:tc>
          <w:tcPr>
            <w:tcW w:w="766" w:type="dxa"/>
          </w:tcPr>
          <w:p w:rsidR="007B06D0" w:rsidRPr="0044275B" w:rsidRDefault="007B06D0" w:rsidP="0045046D">
            <w:pPr>
              <w:rPr>
                <w:sz w:val="20"/>
                <w:szCs w:val="20"/>
              </w:rPr>
            </w:pPr>
            <w:r w:rsidRPr="0044275B">
              <w:rPr>
                <w:sz w:val="20"/>
                <w:szCs w:val="20"/>
              </w:rPr>
              <w:t>PU</w:t>
            </w:r>
          </w:p>
        </w:tc>
        <w:tc>
          <w:tcPr>
            <w:tcW w:w="1703" w:type="dxa"/>
          </w:tcPr>
          <w:p w:rsidR="007B06D0" w:rsidRPr="0044275B" w:rsidRDefault="007B06D0" w:rsidP="0045046D">
            <w:pPr>
              <w:rPr>
                <w:sz w:val="20"/>
                <w:szCs w:val="20"/>
              </w:rPr>
            </w:pPr>
            <w:proofErr w:type="spellStart"/>
            <w:r w:rsidRPr="0044275B">
              <w:rPr>
                <w:sz w:val="20"/>
                <w:szCs w:val="20"/>
              </w:rPr>
              <w:t>Inalco</w:t>
            </w:r>
            <w:proofErr w:type="spellEnd"/>
          </w:p>
        </w:tc>
        <w:tc>
          <w:tcPr>
            <w:tcW w:w="1361" w:type="dxa"/>
          </w:tcPr>
          <w:p w:rsidR="007B06D0" w:rsidRDefault="007B06D0" w:rsidP="0045046D">
            <w:pPr>
              <w:rPr>
                <w:sz w:val="20"/>
                <w:szCs w:val="20"/>
              </w:rPr>
            </w:pPr>
            <w:proofErr w:type="spellStart"/>
            <w:r>
              <w:rPr>
                <w:sz w:val="20"/>
                <w:szCs w:val="20"/>
              </w:rPr>
              <w:t>ASIEs</w:t>
            </w:r>
            <w:proofErr w:type="spellEnd"/>
            <w:r>
              <w:rPr>
                <w:sz w:val="20"/>
                <w:szCs w:val="20"/>
              </w:rPr>
              <w:t>-CEC</w:t>
            </w:r>
          </w:p>
        </w:tc>
        <w:tc>
          <w:tcPr>
            <w:tcW w:w="2272" w:type="dxa"/>
          </w:tcPr>
          <w:p w:rsidR="007B06D0" w:rsidRPr="0044275B" w:rsidRDefault="007B06D0" w:rsidP="0045046D">
            <w:pPr>
              <w:rPr>
                <w:sz w:val="20"/>
                <w:szCs w:val="20"/>
              </w:rPr>
            </w:pPr>
            <w:r>
              <w:rPr>
                <w:sz w:val="20"/>
                <w:szCs w:val="20"/>
              </w:rPr>
              <w:t>littérature, Chine</w:t>
            </w:r>
          </w:p>
        </w:tc>
      </w:tr>
      <w:tr w:rsidR="007B06D0" w:rsidTr="007B06D0">
        <w:tc>
          <w:tcPr>
            <w:tcW w:w="577" w:type="dxa"/>
          </w:tcPr>
          <w:p w:rsidR="007B06D0" w:rsidRPr="0044275B" w:rsidRDefault="007B06D0" w:rsidP="0045046D">
            <w:pPr>
              <w:rPr>
                <w:sz w:val="20"/>
                <w:szCs w:val="20"/>
              </w:rPr>
            </w:pPr>
            <w:r w:rsidRPr="0044275B">
              <w:rPr>
                <w:sz w:val="20"/>
                <w:szCs w:val="20"/>
              </w:rPr>
              <w:t>FJ</w:t>
            </w:r>
          </w:p>
        </w:tc>
        <w:tc>
          <w:tcPr>
            <w:tcW w:w="1991" w:type="dxa"/>
          </w:tcPr>
          <w:p w:rsidR="007B06D0" w:rsidRPr="0044275B" w:rsidRDefault="007B06D0" w:rsidP="0045046D">
            <w:pPr>
              <w:rPr>
                <w:sz w:val="20"/>
                <w:szCs w:val="20"/>
              </w:rPr>
            </w:pPr>
            <w:r w:rsidRPr="0044275B">
              <w:rPr>
                <w:sz w:val="20"/>
                <w:szCs w:val="20"/>
              </w:rPr>
              <w:t>François Jacquesson</w:t>
            </w:r>
          </w:p>
        </w:tc>
        <w:tc>
          <w:tcPr>
            <w:tcW w:w="766" w:type="dxa"/>
          </w:tcPr>
          <w:p w:rsidR="007B06D0" w:rsidRPr="0044275B" w:rsidRDefault="007B06D0" w:rsidP="0045046D">
            <w:pPr>
              <w:rPr>
                <w:sz w:val="20"/>
                <w:szCs w:val="20"/>
              </w:rPr>
            </w:pPr>
            <w:r w:rsidRPr="0044275B">
              <w:rPr>
                <w:sz w:val="20"/>
                <w:szCs w:val="20"/>
              </w:rPr>
              <w:t>DR</w:t>
            </w:r>
          </w:p>
        </w:tc>
        <w:tc>
          <w:tcPr>
            <w:tcW w:w="1703" w:type="dxa"/>
          </w:tcPr>
          <w:p w:rsidR="007B06D0" w:rsidRPr="0044275B" w:rsidRDefault="007B06D0" w:rsidP="0045046D">
            <w:pPr>
              <w:rPr>
                <w:sz w:val="20"/>
                <w:szCs w:val="20"/>
              </w:rPr>
            </w:pPr>
            <w:r w:rsidRPr="0044275B">
              <w:rPr>
                <w:sz w:val="20"/>
                <w:szCs w:val="20"/>
              </w:rPr>
              <w:t>Cnrs</w:t>
            </w:r>
            <w:r>
              <w:rPr>
                <w:sz w:val="20"/>
                <w:szCs w:val="20"/>
              </w:rPr>
              <w:t xml:space="preserve"> et Sorbonne Nouvelle</w:t>
            </w:r>
          </w:p>
        </w:tc>
        <w:tc>
          <w:tcPr>
            <w:tcW w:w="1361" w:type="dxa"/>
          </w:tcPr>
          <w:p w:rsidR="007B06D0" w:rsidRDefault="007B06D0" w:rsidP="0045046D">
            <w:pPr>
              <w:rPr>
                <w:sz w:val="20"/>
                <w:szCs w:val="20"/>
              </w:rPr>
            </w:pPr>
            <w:r w:rsidRPr="0044275B">
              <w:rPr>
                <w:sz w:val="20"/>
                <w:szCs w:val="20"/>
              </w:rPr>
              <w:t>UMR7107</w:t>
            </w:r>
            <w:r w:rsidR="00F126F9">
              <w:rPr>
                <w:sz w:val="20"/>
                <w:szCs w:val="20"/>
              </w:rPr>
              <w:t>-LACITO</w:t>
            </w:r>
          </w:p>
        </w:tc>
        <w:tc>
          <w:tcPr>
            <w:tcW w:w="2272" w:type="dxa"/>
          </w:tcPr>
          <w:p w:rsidR="007B06D0" w:rsidRPr="0044275B" w:rsidRDefault="007B06D0" w:rsidP="0045046D">
            <w:pPr>
              <w:rPr>
                <w:sz w:val="20"/>
                <w:szCs w:val="20"/>
              </w:rPr>
            </w:pPr>
            <w:r>
              <w:rPr>
                <w:sz w:val="20"/>
                <w:szCs w:val="20"/>
              </w:rPr>
              <w:t>linguistique</w:t>
            </w:r>
          </w:p>
        </w:tc>
      </w:tr>
      <w:tr w:rsidR="007B06D0" w:rsidTr="007B06D0">
        <w:tc>
          <w:tcPr>
            <w:tcW w:w="577" w:type="dxa"/>
          </w:tcPr>
          <w:p w:rsidR="007B06D0" w:rsidRPr="0044275B" w:rsidRDefault="007B06D0" w:rsidP="002637D1">
            <w:pPr>
              <w:rPr>
                <w:sz w:val="20"/>
                <w:szCs w:val="20"/>
              </w:rPr>
            </w:pPr>
            <w:r w:rsidRPr="0044275B">
              <w:rPr>
                <w:sz w:val="20"/>
                <w:szCs w:val="20"/>
              </w:rPr>
              <w:t>EB</w:t>
            </w:r>
          </w:p>
        </w:tc>
        <w:tc>
          <w:tcPr>
            <w:tcW w:w="1991" w:type="dxa"/>
          </w:tcPr>
          <w:p w:rsidR="007B06D0" w:rsidRPr="0044275B" w:rsidRDefault="007B06D0" w:rsidP="0045046D">
            <w:pPr>
              <w:rPr>
                <w:sz w:val="20"/>
                <w:szCs w:val="20"/>
              </w:rPr>
            </w:pPr>
            <w:r w:rsidRPr="0044275B">
              <w:rPr>
                <w:sz w:val="20"/>
                <w:szCs w:val="20"/>
              </w:rPr>
              <w:t>Estelle Leggeri-Bauer</w:t>
            </w:r>
          </w:p>
        </w:tc>
        <w:tc>
          <w:tcPr>
            <w:tcW w:w="766" w:type="dxa"/>
          </w:tcPr>
          <w:p w:rsidR="007B06D0" w:rsidRPr="0044275B" w:rsidRDefault="007B06D0" w:rsidP="0045046D">
            <w:pPr>
              <w:rPr>
                <w:sz w:val="20"/>
                <w:szCs w:val="20"/>
              </w:rPr>
            </w:pPr>
            <w:r w:rsidRPr="0044275B">
              <w:rPr>
                <w:sz w:val="20"/>
                <w:szCs w:val="20"/>
              </w:rPr>
              <w:t>MC</w:t>
            </w:r>
          </w:p>
        </w:tc>
        <w:tc>
          <w:tcPr>
            <w:tcW w:w="1703" w:type="dxa"/>
          </w:tcPr>
          <w:p w:rsidR="007B06D0" w:rsidRPr="0044275B" w:rsidRDefault="007B06D0" w:rsidP="0045046D">
            <w:pPr>
              <w:rPr>
                <w:sz w:val="20"/>
                <w:szCs w:val="20"/>
              </w:rPr>
            </w:pPr>
            <w:proofErr w:type="spellStart"/>
            <w:r w:rsidRPr="0044275B">
              <w:rPr>
                <w:sz w:val="20"/>
                <w:szCs w:val="20"/>
              </w:rPr>
              <w:t>Inalco</w:t>
            </w:r>
            <w:proofErr w:type="spellEnd"/>
          </w:p>
        </w:tc>
        <w:tc>
          <w:tcPr>
            <w:tcW w:w="1361" w:type="dxa"/>
          </w:tcPr>
          <w:p w:rsidR="007B06D0" w:rsidRDefault="007B06D0" w:rsidP="0045046D">
            <w:pPr>
              <w:rPr>
                <w:sz w:val="20"/>
                <w:szCs w:val="20"/>
              </w:rPr>
            </w:pPr>
            <w:r>
              <w:rPr>
                <w:sz w:val="20"/>
                <w:szCs w:val="20"/>
              </w:rPr>
              <w:t>CEJ</w:t>
            </w:r>
          </w:p>
        </w:tc>
        <w:tc>
          <w:tcPr>
            <w:tcW w:w="2272" w:type="dxa"/>
          </w:tcPr>
          <w:p w:rsidR="007B06D0" w:rsidRPr="0044275B" w:rsidRDefault="007B06D0" w:rsidP="0045046D">
            <w:pPr>
              <w:rPr>
                <w:sz w:val="20"/>
                <w:szCs w:val="20"/>
              </w:rPr>
            </w:pPr>
            <w:r>
              <w:rPr>
                <w:sz w:val="20"/>
                <w:szCs w:val="20"/>
              </w:rPr>
              <w:t>histoire de l’art, Japon</w:t>
            </w:r>
          </w:p>
        </w:tc>
      </w:tr>
      <w:tr w:rsidR="007B06D0" w:rsidTr="007B06D0">
        <w:tc>
          <w:tcPr>
            <w:tcW w:w="577" w:type="dxa"/>
          </w:tcPr>
          <w:p w:rsidR="007B06D0" w:rsidRPr="0044275B" w:rsidRDefault="007B06D0" w:rsidP="002637D1">
            <w:pPr>
              <w:rPr>
                <w:sz w:val="20"/>
                <w:szCs w:val="20"/>
              </w:rPr>
            </w:pPr>
            <w:r w:rsidRPr="0044275B">
              <w:rPr>
                <w:sz w:val="20"/>
                <w:szCs w:val="20"/>
              </w:rPr>
              <w:t>CL</w:t>
            </w:r>
          </w:p>
        </w:tc>
        <w:tc>
          <w:tcPr>
            <w:tcW w:w="1991" w:type="dxa"/>
          </w:tcPr>
          <w:p w:rsidR="007B06D0" w:rsidRPr="0044275B" w:rsidRDefault="007B06D0" w:rsidP="002637D1">
            <w:pPr>
              <w:rPr>
                <w:sz w:val="20"/>
                <w:szCs w:val="20"/>
              </w:rPr>
            </w:pPr>
            <w:r w:rsidRPr="0044275B">
              <w:rPr>
                <w:sz w:val="20"/>
                <w:szCs w:val="20"/>
              </w:rPr>
              <w:t>Cédric Laurent</w:t>
            </w:r>
          </w:p>
        </w:tc>
        <w:tc>
          <w:tcPr>
            <w:tcW w:w="766" w:type="dxa"/>
          </w:tcPr>
          <w:p w:rsidR="007B06D0" w:rsidRPr="0044275B" w:rsidRDefault="007B06D0" w:rsidP="002637D1">
            <w:pPr>
              <w:rPr>
                <w:sz w:val="20"/>
                <w:szCs w:val="20"/>
              </w:rPr>
            </w:pPr>
            <w:r w:rsidRPr="0044275B">
              <w:rPr>
                <w:sz w:val="20"/>
                <w:szCs w:val="20"/>
              </w:rPr>
              <w:t>MC</w:t>
            </w:r>
          </w:p>
        </w:tc>
        <w:tc>
          <w:tcPr>
            <w:tcW w:w="1703" w:type="dxa"/>
          </w:tcPr>
          <w:p w:rsidR="007B06D0" w:rsidRPr="0044275B" w:rsidRDefault="007B06D0" w:rsidP="002637D1">
            <w:pPr>
              <w:rPr>
                <w:sz w:val="20"/>
                <w:szCs w:val="20"/>
              </w:rPr>
            </w:pPr>
            <w:r w:rsidRPr="0044275B">
              <w:rPr>
                <w:sz w:val="20"/>
                <w:szCs w:val="20"/>
              </w:rPr>
              <w:t>Rennes</w:t>
            </w:r>
            <w:r>
              <w:rPr>
                <w:sz w:val="20"/>
                <w:szCs w:val="20"/>
              </w:rPr>
              <w:t xml:space="preserve"> 2</w:t>
            </w:r>
          </w:p>
        </w:tc>
        <w:tc>
          <w:tcPr>
            <w:tcW w:w="1361" w:type="dxa"/>
          </w:tcPr>
          <w:p w:rsidR="007B06D0" w:rsidRDefault="007B06D0" w:rsidP="004F2073">
            <w:pPr>
              <w:rPr>
                <w:sz w:val="20"/>
                <w:szCs w:val="20"/>
              </w:rPr>
            </w:pPr>
            <w:proofErr w:type="spellStart"/>
            <w:r>
              <w:rPr>
                <w:sz w:val="20"/>
                <w:szCs w:val="20"/>
              </w:rPr>
              <w:t>Erimite</w:t>
            </w:r>
            <w:proofErr w:type="spellEnd"/>
            <w:r>
              <w:rPr>
                <w:sz w:val="20"/>
                <w:szCs w:val="20"/>
              </w:rPr>
              <w:t xml:space="preserve">/ </w:t>
            </w:r>
            <w:proofErr w:type="spellStart"/>
            <w:r>
              <w:rPr>
                <w:sz w:val="20"/>
                <w:szCs w:val="20"/>
              </w:rPr>
              <w:t>ASIEs</w:t>
            </w:r>
            <w:proofErr w:type="spellEnd"/>
            <w:r>
              <w:rPr>
                <w:sz w:val="20"/>
                <w:szCs w:val="20"/>
              </w:rPr>
              <w:t>-CEC</w:t>
            </w:r>
          </w:p>
        </w:tc>
        <w:tc>
          <w:tcPr>
            <w:tcW w:w="2272" w:type="dxa"/>
          </w:tcPr>
          <w:p w:rsidR="007B06D0" w:rsidRPr="0044275B" w:rsidRDefault="007B06D0" w:rsidP="004F2073">
            <w:pPr>
              <w:rPr>
                <w:sz w:val="20"/>
                <w:szCs w:val="20"/>
              </w:rPr>
            </w:pPr>
            <w:r>
              <w:rPr>
                <w:sz w:val="20"/>
                <w:szCs w:val="20"/>
              </w:rPr>
              <w:t>histoire de l’art, litt. Chine</w:t>
            </w:r>
          </w:p>
        </w:tc>
      </w:tr>
      <w:tr w:rsidR="007B06D0" w:rsidTr="007B06D0">
        <w:tc>
          <w:tcPr>
            <w:tcW w:w="577" w:type="dxa"/>
          </w:tcPr>
          <w:p w:rsidR="007B06D0" w:rsidRPr="0044275B" w:rsidRDefault="007B06D0" w:rsidP="002637D1">
            <w:pPr>
              <w:rPr>
                <w:sz w:val="20"/>
                <w:szCs w:val="20"/>
              </w:rPr>
            </w:pPr>
            <w:r w:rsidRPr="0044275B">
              <w:rPr>
                <w:sz w:val="20"/>
                <w:szCs w:val="20"/>
              </w:rPr>
              <w:t>VL</w:t>
            </w:r>
          </w:p>
        </w:tc>
        <w:tc>
          <w:tcPr>
            <w:tcW w:w="1991" w:type="dxa"/>
          </w:tcPr>
          <w:p w:rsidR="007B06D0" w:rsidRPr="0044275B" w:rsidRDefault="007B06D0" w:rsidP="002637D1">
            <w:pPr>
              <w:rPr>
                <w:sz w:val="20"/>
                <w:szCs w:val="20"/>
              </w:rPr>
            </w:pPr>
            <w:r w:rsidRPr="0044275B">
              <w:rPr>
                <w:sz w:val="20"/>
                <w:szCs w:val="20"/>
              </w:rPr>
              <w:t xml:space="preserve">Valérie </w:t>
            </w:r>
            <w:proofErr w:type="spellStart"/>
            <w:r w:rsidRPr="0044275B">
              <w:rPr>
                <w:sz w:val="20"/>
                <w:szCs w:val="20"/>
              </w:rPr>
              <w:t>Lavoix</w:t>
            </w:r>
            <w:proofErr w:type="spellEnd"/>
          </w:p>
        </w:tc>
        <w:tc>
          <w:tcPr>
            <w:tcW w:w="766" w:type="dxa"/>
          </w:tcPr>
          <w:p w:rsidR="007B06D0" w:rsidRPr="0044275B" w:rsidRDefault="007B06D0" w:rsidP="002637D1">
            <w:pPr>
              <w:rPr>
                <w:sz w:val="20"/>
                <w:szCs w:val="20"/>
              </w:rPr>
            </w:pPr>
            <w:r w:rsidRPr="0044275B">
              <w:rPr>
                <w:sz w:val="20"/>
                <w:szCs w:val="20"/>
              </w:rPr>
              <w:t>MC</w:t>
            </w:r>
          </w:p>
        </w:tc>
        <w:tc>
          <w:tcPr>
            <w:tcW w:w="1703" w:type="dxa"/>
          </w:tcPr>
          <w:p w:rsidR="007B06D0" w:rsidRPr="0044275B" w:rsidRDefault="007B06D0" w:rsidP="002637D1">
            <w:pPr>
              <w:rPr>
                <w:sz w:val="20"/>
                <w:szCs w:val="20"/>
              </w:rPr>
            </w:pPr>
            <w:proofErr w:type="spellStart"/>
            <w:r w:rsidRPr="0044275B">
              <w:rPr>
                <w:sz w:val="20"/>
                <w:szCs w:val="20"/>
              </w:rPr>
              <w:t>Inalco</w:t>
            </w:r>
            <w:proofErr w:type="spellEnd"/>
          </w:p>
        </w:tc>
        <w:tc>
          <w:tcPr>
            <w:tcW w:w="1361" w:type="dxa"/>
          </w:tcPr>
          <w:p w:rsidR="007B06D0" w:rsidRDefault="007B06D0" w:rsidP="002637D1">
            <w:pPr>
              <w:rPr>
                <w:sz w:val="20"/>
                <w:szCs w:val="20"/>
              </w:rPr>
            </w:pPr>
            <w:proofErr w:type="spellStart"/>
            <w:r>
              <w:rPr>
                <w:sz w:val="20"/>
                <w:szCs w:val="20"/>
              </w:rPr>
              <w:t>ASIEs</w:t>
            </w:r>
            <w:proofErr w:type="spellEnd"/>
            <w:r>
              <w:rPr>
                <w:sz w:val="20"/>
                <w:szCs w:val="20"/>
              </w:rPr>
              <w:t>-CEC</w:t>
            </w:r>
          </w:p>
        </w:tc>
        <w:tc>
          <w:tcPr>
            <w:tcW w:w="2272" w:type="dxa"/>
          </w:tcPr>
          <w:p w:rsidR="007B06D0" w:rsidRPr="0044275B" w:rsidRDefault="007B06D0" w:rsidP="002637D1">
            <w:pPr>
              <w:rPr>
                <w:sz w:val="20"/>
                <w:szCs w:val="20"/>
              </w:rPr>
            </w:pPr>
            <w:r>
              <w:rPr>
                <w:sz w:val="20"/>
                <w:szCs w:val="20"/>
              </w:rPr>
              <w:t>littérature, Chine</w:t>
            </w:r>
          </w:p>
        </w:tc>
      </w:tr>
      <w:tr w:rsidR="007B06D0" w:rsidTr="007B06D0">
        <w:tc>
          <w:tcPr>
            <w:tcW w:w="577" w:type="dxa"/>
          </w:tcPr>
          <w:p w:rsidR="007B06D0" w:rsidRPr="0044275B" w:rsidRDefault="007B06D0" w:rsidP="0045046D">
            <w:pPr>
              <w:rPr>
                <w:sz w:val="20"/>
                <w:szCs w:val="20"/>
              </w:rPr>
            </w:pPr>
            <w:r>
              <w:rPr>
                <w:sz w:val="20"/>
                <w:szCs w:val="20"/>
              </w:rPr>
              <w:t>NM</w:t>
            </w:r>
          </w:p>
        </w:tc>
        <w:tc>
          <w:tcPr>
            <w:tcW w:w="1991" w:type="dxa"/>
          </w:tcPr>
          <w:p w:rsidR="007B06D0" w:rsidRPr="0044275B" w:rsidRDefault="007B06D0" w:rsidP="0045046D">
            <w:pPr>
              <w:rPr>
                <w:sz w:val="20"/>
                <w:szCs w:val="20"/>
              </w:rPr>
            </w:pPr>
            <w:r>
              <w:rPr>
                <w:sz w:val="20"/>
                <w:szCs w:val="20"/>
              </w:rPr>
              <w:t>Nils Martin</w:t>
            </w:r>
          </w:p>
        </w:tc>
        <w:tc>
          <w:tcPr>
            <w:tcW w:w="766" w:type="dxa"/>
          </w:tcPr>
          <w:p w:rsidR="007B06D0" w:rsidRPr="0044275B" w:rsidRDefault="007B06D0" w:rsidP="007B06D0">
            <w:pPr>
              <w:rPr>
                <w:sz w:val="20"/>
                <w:szCs w:val="20"/>
              </w:rPr>
            </w:pPr>
            <w:proofErr w:type="spellStart"/>
            <w:r>
              <w:rPr>
                <w:sz w:val="20"/>
                <w:szCs w:val="20"/>
              </w:rPr>
              <w:t>doct</w:t>
            </w:r>
            <w:proofErr w:type="spellEnd"/>
            <w:r>
              <w:rPr>
                <w:sz w:val="20"/>
                <w:szCs w:val="20"/>
              </w:rPr>
              <w:t>.</w:t>
            </w:r>
          </w:p>
        </w:tc>
        <w:tc>
          <w:tcPr>
            <w:tcW w:w="1703" w:type="dxa"/>
          </w:tcPr>
          <w:p w:rsidR="007B06D0" w:rsidRPr="0044275B" w:rsidRDefault="007B06D0" w:rsidP="0045046D">
            <w:pPr>
              <w:rPr>
                <w:sz w:val="20"/>
                <w:szCs w:val="20"/>
              </w:rPr>
            </w:pPr>
            <w:r>
              <w:rPr>
                <w:sz w:val="20"/>
                <w:szCs w:val="20"/>
              </w:rPr>
              <w:t>EPHE</w:t>
            </w:r>
          </w:p>
        </w:tc>
        <w:tc>
          <w:tcPr>
            <w:tcW w:w="1361" w:type="dxa"/>
          </w:tcPr>
          <w:p w:rsidR="007B06D0" w:rsidRDefault="007B06D0" w:rsidP="0045046D">
            <w:pPr>
              <w:rPr>
                <w:sz w:val="20"/>
                <w:szCs w:val="20"/>
              </w:rPr>
            </w:pPr>
          </w:p>
        </w:tc>
        <w:tc>
          <w:tcPr>
            <w:tcW w:w="2272" w:type="dxa"/>
          </w:tcPr>
          <w:p w:rsidR="007B06D0" w:rsidRDefault="007B06D0" w:rsidP="0045046D">
            <w:pPr>
              <w:rPr>
                <w:sz w:val="20"/>
                <w:szCs w:val="20"/>
              </w:rPr>
            </w:pPr>
            <w:r>
              <w:rPr>
                <w:sz w:val="20"/>
                <w:szCs w:val="20"/>
              </w:rPr>
              <w:t>histoire de l’art, Ladakh</w:t>
            </w:r>
          </w:p>
        </w:tc>
      </w:tr>
      <w:tr w:rsidR="007B06D0" w:rsidTr="007B06D0">
        <w:tc>
          <w:tcPr>
            <w:tcW w:w="577" w:type="dxa"/>
          </w:tcPr>
          <w:p w:rsidR="007B06D0" w:rsidRPr="0044275B" w:rsidRDefault="007B06D0" w:rsidP="002637D1">
            <w:pPr>
              <w:rPr>
                <w:sz w:val="20"/>
                <w:szCs w:val="20"/>
              </w:rPr>
            </w:pPr>
            <w:r>
              <w:rPr>
                <w:sz w:val="20"/>
                <w:szCs w:val="20"/>
              </w:rPr>
              <w:t>KNL</w:t>
            </w:r>
          </w:p>
        </w:tc>
        <w:tc>
          <w:tcPr>
            <w:tcW w:w="1991" w:type="dxa"/>
          </w:tcPr>
          <w:p w:rsidR="007B06D0" w:rsidRPr="0044275B" w:rsidRDefault="007B06D0" w:rsidP="002637D1">
            <w:pPr>
              <w:rPr>
                <w:sz w:val="20"/>
                <w:szCs w:val="20"/>
              </w:rPr>
            </w:pPr>
            <w:proofErr w:type="spellStart"/>
            <w:r>
              <w:rPr>
                <w:sz w:val="20"/>
                <w:szCs w:val="20"/>
              </w:rPr>
              <w:t>KunsangNamgyal</w:t>
            </w:r>
            <w:proofErr w:type="spellEnd"/>
            <w:r>
              <w:rPr>
                <w:sz w:val="20"/>
                <w:szCs w:val="20"/>
              </w:rPr>
              <w:t>-Lama</w:t>
            </w:r>
          </w:p>
        </w:tc>
        <w:tc>
          <w:tcPr>
            <w:tcW w:w="766" w:type="dxa"/>
          </w:tcPr>
          <w:p w:rsidR="007B06D0" w:rsidRPr="0044275B" w:rsidRDefault="007B06D0" w:rsidP="007B06D0">
            <w:pPr>
              <w:rPr>
                <w:sz w:val="20"/>
                <w:szCs w:val="20"/>
              </w:rPr>
            </w:pPr>
            <w:proofErr w:type="spellStart"/>
            <w:r>
              <w:rPr>
                <w:sz w:val="20"/>
                <w:szCs w:val="20"/>
              </w:rPr>
              <w:t>doct</w:t>
            </w:r>
            <w:proofErr w:type="spellEnd"/>
            <w:r>
              <w:rPr>
                <w:sz w:val="20"/>
                <w:szCs w:val="20"/>
              </w:rPr>
              <w:t>.</w:t>
            </w:r>
          </w:p>
        </w:tc>
        <w:tc>
          <w:tcPr>
            <w:tcW w:w="1703" w:type="dxa"/>
          </w:tcPr>
          <w:p w:rsidR="007B06D0" w:rsidRPr="0044275B" w:rsidRDefault="007B06D0" w:rsidP="002637D1">
            <w:pPr>
              <w:rPr>
                <w:sz w:val="20"/>
                <w:szCs w:val="20"/>
              </w:rPr>
            </w:pPr>
            <w:r>
              <w:rPr>
                <w:sz w:val="20"/>
                <w:szCs w:val="20"/>
              </w:rPr>
              <w:t>Paris Sorbonne</w:t>
            </w:r>
          </w:p>
        </w:tc>
        <w:tc>
          <w:tcPr>
            <w:tcW w:w="1361" w:type="dxa"/>
          </w:tcPr>
          <w:p w:rsidR="007B06D0" w:rsidRDefault="007B06D0" w:rsidP="002637D1">
            <w:pPr>
              <w:rPr>
                <w:sz w:val="20"/>
                <w:szCs w:val="20"/>
              </w:rPr>
            </w:pPr>
          </w:p>
        </w:tc>
        <w:tc>
          <w:tcPr>
            <w:tcW w:w="2272" w:type="dxa"/>
          </w:tcPr>
          <w:p w:rsidR="007B06D0" w:rsidRDefault="007B06D0" w:rsidP="002637D1">
            <w:pPr>
              <w:rPr>
                <w:sz w:val="20"/>
                <w:szCs w:val="20"/>
              </w:rPr>
            </w:pPr>
            <w:r>
              <w:rPr>
                <w:sz w:val="20"/>
                <w:szCs w:val="20"/>
              </w:rPr>
              <w:t>histoire de l’art, Tibet</w:t>
            </w:r>
          </w:p>
        </w:tc>
      </w:tr>
      <w:tr w:rsidR="007B06D0" w:rsidTr="007B06D0">
        <w:tc>
          <w:tcPr>
            <w:tcW w:w="577" w:type="dxa"/>
          </w:tcPr>
          <w:p w:rsidR="007B06D0" w:rsidRPr="0044275B" w:rsidRDefault="007B06D0" w:rsidP="002637D1">
            <w:pPr>
              <w:rPr>
                <w:sz w:val="20"/>
                <w:szCs w:val="20"/>
              </w:rPr>
            </w:pPr>
            <w:r w:rsidRPr="0044275B">
              <w:rPr>
                <w:sz w:val="20"/>
                <w:szCs w:val="20"/>
              </w:rPr>
              <w:t>PR</w:t>
            </w:r>
          </w:p>
        </w:tc>
        <w:tc>
          <w:tcPr>
            <w:tcW w:w="1991" w:type="dxa"/>
          </w:tcPr>
          <w:p w:rsidR="007B06D0" w:rsidRPr="0044275B" w:rsidRDefault="007B06D0" w:rsidP="002637D1">
            <w:pPr>
              <w:rPr>
                <w:sz w:val="20"/>
                <w:szCs w:val="20"/>
              </w:rPr>
            </w:pPr>
            <w:r w:rsidRPr="0044275B">
              <w:rPr>
                <w:sz w:val="20"/>
                <w:szCs w:val="20"/>
              </w:rPr>
              <w:t>Pénélope Riboud</w:t>
            </w:r>
          </w:p>
        </w:tc>
        <w:tc>
          <w:tcPr>
            <w:tcW w:w="766" w:type="dxa"/>
          </w:tcPr>
          <w:p w:rsidR="007B06D0" w:rsidRPr="0044275B" w:rsidRDefault="007B06D0" w:rsidP="002637D1">
            <w:pPr>
              <w:rPr>
                <w:sz w:val="20"/>
                <w:szCs w:val="20"/>
              </w:rPr>
            </w:pPr>
            <w:r w:rsidRPr="0044275B">
              <w:rPr>
                <w:sz w:val="20"/>
                <w:szCs w:val="20"/>
              </w:rPr>
              <w:t>MC</w:t>
            </w:r>
          </w:p>
        </w:tc>
        <w:tc>
          <w:tcPr>
            <w:tcW w:w="1703" w:type="dxa"/>
          </w:tcPr>
          <w:p w:rsidR="007B06D0" w:rsidRPr="0044275B" w:rsidRDefault="007B06D0" w:rsidP="002637D1">
            <w:pPr>
              <w:rPr>
                <w:sz w:val="20"/>
                <w:szCs w:val="20"/>
              </w:rPr>
            </w:pPr>
            <w:proofErr w:type="spellStart"/>
            <w:r w:rsidRPr="0044275B">
              <w:rPr>
                <w:sz w:val="20"/>
                <w:szCs w:val="20"/>
              </w:rPr>
              <w:t>Inalco</w:t>
            </w:r>
            <w:proofErr w:type="spellEnd"/>
          </w:p>
        </w:tc>
        <w:tc>
          <w:tcPr>
            <w:tcW w:w="1361" w:type="dxa"/>
          </w:tcPr>
          <w:p w:rsidR="007B06D0" w:rsidRDefault="007B06D0" w:rsidP="00012354">
            <w:pPr>
              <w:rPr>
                <w:sz w:val="20"/>
                <w:szCs w:val="20"/>
              </w:rPr>
            </w:pPr>
            <w:proofErr w:type="spellStart"/>
            <w:r>
              <w:rPr>
                <w:sz w:val="20"/>
                <w:szCs w:val="20"/>
              </w:rPr>
              <w:t>ASIEs</w:t>
            </w:r>
            <w:proofErr w:type="spellEnd"/>
            <w:r>
              <w:rPr>
                <w:sz w:val="20"/>
                <w:szCs w:val="20"/>
              </w:rPr>
              <w:t>-CEC</w:t>
            </w:r>
          </w:p>
        </w:tc>
        <w:tc>
          <w:tcPr>
            <w:tcW w:w="2272" w:type="dxa"/>
          </w:tcPr>
          <w:p w:rsidR="007B06D0" w:rsidRPr="0044275B" w:rsidRDefault="007B06D0" w:rsidP="00012354">
            <w:pPr>
              <w:rPr>
                <w:sz w:val="20"/>
                <w:szCs w:val="20"/>
              </w:rPr>
            </w:pPr>
            <w:r>
              <w:rPr>
                <w:sz w:val="20"/>
                <w:szCs w:val="20"/>
              </w:rPr>
              <w:t>histoire, Chine</w:t>
            </w:r>
          </w:p>
        </w:tc>
      </w:tr>
    </w:tbl>
    <w:p w:rsidR="0044275B" w:rsidRDefault="0044275B" w:rsidP="002637D1"/>
    <w:p w:rsidR="00606536" w:rsidRPr="0034109F" w:rsidRDefault="00555DB9" w:rsidP="00094D5B">
      <w:pPr>
        <w:ind w:firstLine="708"/>
        <w:rPr>
          <w:rStyle w:val="Emphaseintense"/>
        </w:rPr>
      </w:pPr>
      <w:r w:rsidRPr="0034109F">
        <w:rPr>
          <w:rStyle w:val="Emphaseintense"/>
        </w:rPr>
        <w:t xml:space="preserve">2.1. </w:t>
      </w:r>
      <w:r w:rsidR="00F126F9">
        <w:rPr>
          <w:rStyle w:val="Emphaseintense"/>
        </w:rPr>
        <w:t>L</w:t>
      </w:r>
      <w:r w:rsidRPr="0034109F">
        <w:rPr>
          <w:rStyle w:val="Emphaseintense"/>
        </w:rPr>
        <w:t xml:space="preserve">e rouleau du </w:t>
      </w:r>
      <w:proofErr w:type="spellStart"/>
      <w:r w:rsidRPr="0034109F">
        <w:rPr>
          <w:rStyle w:val="Emphaseintense"/>
        </w:rPr>
        <w:t>Dôdô</w:t>
      </w:r>
      <w:proofErr w:type="spellEnd"/>
      <w:r w:rsidRPr="0034109F">
        <w:rPr>
          <w:rStyle w:val="Emphaseintense"/>
        </w:rPr>
        <w:t>-</w:t>
      </w:r>
      <w:proofErr w:type="spellStart"/>
      <w:r w:rsidRPr="0034109F">
        <w:rPr>
          <w:rStyle w:val="Emphaseintense"/>
        </w:rPr>
        <w:t>ji</w:t>
      </w:r>
      <w:proofErr w:type="spellEnd"/>
      <w:r w:rsidRPr="0034109F">
        <w:rPr>
          <w:rStyle w:val="Emphaseintense"/>
        </w:rPr>
        <w:t>, Japon</w:t>
      </w:r>
      <w:r w:rsidR="00606536" w:rsidRPr="0034109F">
        <w:rPr>
          <w:rStyle w:val="Emphaseintense"/>
        </w:rPr>
        <w:t xml:space="preserve"> - </w:t>
      </w:r>
      <w:r w:rsidR="0044275B" w:rsidRPr="0034109F">
        <w:rPr>
          <w:rStyle w:val="Emphaseintense"/>
        </w:rPr>
        <w:t>EB</w:t>
      </w:r>
    </w:p>
    <w:p w:rsidR="00555DB9" w:rsidRDefault="0044275B" w:rsidP="00796351">
      <w:pPr>
        <w:spacing w:after="0"/>
      </w:pPr>
      <w:r>
        <w:t>EB</w:t>
      </w:r>
      <w:r w:rsidR="00555DB9">
        <w:t>, spécialiste des peintures narratives japonaises, souhaite</w:t>
      </w:r>
      <w:r w:rsidR="007727FC">
        <w:t xml:space="preserve"> étudier les </w:t>
      </w:r>
      <w:r w:rsidR="003B3D86" w:rsidRPr="00B564FF">
        <w:t>re</w:t>
      </w:r>
      <w:r w:rsidR="007727FC" w:rsidRPr="00B564FF">
        <w:t>c</w:t>
      </w:r>
      <w:r w:rsidR="007727FC">
        <w:t>onfigurations d’un récit écrit et visuel porté sur rouleau, par la parole vive d’un moine bouddhique,</w:t>
      </w:r>
      <w:r w:rsidR="00FF28AD">
        <w:t xml:space="preserve"> en enregistrant</w:t>
      </w:r>
      <w:r w:rsidR="00555DB9">
        <w:t xml:space="preserve">, au printemps puis en automne, </w:t>
      </w:r>
      <w:r w:rsidR="007727FC">
        <w:t>p</w:t>
      </w:r>
      <w:r w:rsidR="003B3D86">
        <w:t>lusieurs séances de prédication</w:t>
      </w:r>
      <w:r w:rsidR="00555DB9">
        <w:t>.</w:t>
      </w:r>
      <w:r w:rsidR="00F81FF2" w:rsidRPr="00F81FF2">
        <w:t>http://www.dojoji.com/anchin/index.html</w:t>
      </w:r>
    </w:p>
    <w:p w:rsidR="00514835" w:rsidRDefault="007727FC" w:rsidP="002637D1">
      <w:r>
        <w:t>Voir aussi 2.5</w:t>
      </w:r>
      <w:r w:rsidR="00514835">
        <w:t>.</w:t>
      </w:r>
    </w:p>
    <w:p w:rsidR="00606536" w:rsidRPr="0034109F" w:rsidRDefault="00796351" w:rsidP="00094D5B">
      <w:pPr>
        <w:ind w:firstLine="708"/>
        <w:rPr>
          <w:rStyle w:val="Emphaseintense"/>
        </w:rPr>
      </w:pPr>
      <w:r>
        <w:rPr>
          <w:b/>
          <w:bCs/>
          <w:i/>
          <w:iCs/>
          <w:noProof/>
          <w:color w:val="4F81BD" w:themeColor="accent1"/>
          <w:lang w:eastAsia="fr-FR"/>
        </w:rPr>
        <w:drawing>
          <wp:anchor distT="0" distB="0" distL="114300" distR="114300" simplePos="0" relativeHeight="251658240" behindDoc="0" locked="0" layoutInCell="1" allowOverlap="1">
            <wp:simplePos x="0" y="0"/>
            <wp:positionH relativeFrom="column">
              <wp:posOffset>19050</wp:posOffset>
            </wp:positionH>
            <wp:positionV relativeFrom="paragraph">
              <wp:posOffset>354330</wp:posOffset>
            </wp:positionV>
            <wp:extent cx="2743200" cy="1466850"/>
            <wp:effectExtent l="19050" t="0" r="0" b="0"/>
            <wp:wrapSquare wrapText="bothSides"/>
            <wp:docPr id="4" name="Image 3" descr="C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b.jpg"/>
                    <pic:cNvPicPr/>
                  </pic:nvPicPr>
                  <pic:blipFill>
                    <a:blip r:embed="rId7" cstate="print"/>
                    <a:stretch>
                      <a:fillRect/>
                    </a:stretch>
                  </pic:blipFill>
                  <pic:spPr>
                    <a:xfrm>
                      <a:off x="0" y="0"/>
                      <a:ext cx="2743200" cy="1466850"/>
                    </a:xfrm>
                    <a:prstGeom prst="rect">
                      <a:avLst/>
                    </a:prstGeom>
                  </pic:spPr>
                </pic:pic>
              </a:graphicData>
            </a:graphic>
          </wp:anchor>
        </w:drawing>
      </w:r>
      <w:r w:rsidR="00EA5EBA">
        <w:rPr>
          <w:rStyle w:val="Emphaseintense"/>
        </w:rPr>
        <w:t>2.2. Les rhapsodi</w:t>
      </w:r>
      <w:r w:rsidR="00F81FF2" w:rsidRPr="0034109F">
        <w:rPr>
          <w:rStyle w:val="Emphaseintense"/>
        </w:rPr>
        <w:t>es illustrées en Chine</w:t>
      </w:r>
      <w:r w:rsidR="0044275B" w:rsidRPr="0034109F">
        <w:rPr>
          <w:rStyle w:val="Emphaseintense"/>
        </w:rPr>
        <w:t>–CL et VL</w:t>
      </w:r>
      <w:r w:rsidR="001C28A6" w:rsidRPr="0034109F">
        <w:rPr>
          <w:rStyle w:val="Emphaseintense"/>
        </w:rPr>
        <w:t xml:space="preserve">. </w:t>
      </w:r>
    </w:p>
    <w:p w:rsidR="00EA5EBA" w:rsidRPr="00EA5EBA" w:rsidRDefault="00EA5EBA" w:rsidP="00EA5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EA5EBA">
        <w:rPr>
          <w:rFonts w:eastAsia="Times New Roman" w:cstheme="minorHAnsi"/>
          <w:lang w:eastAsia="fr-FR"/>
        </w:rPr>
        <w:t xml:space="preserve">Les </w:t>
      </w:r>
      <w:proofErr w:type="spellStart"/>
      <w:r w:rsidRPr="00EA5EBA">
        <w:rPr>
          <w:rFonts w:eastAsia="Times New Roman" w:cstheme="minorHAnsi"/>
          <w:i/>
          <w:lang w:eastAsia="fr-FR"/>
        </w:rPr>
        <w:t>fu</w:t>
      </w:r>
      <w:proofErr w:type="spellEnd"/>
      <w:r w:rsidRPr="00EA5EBA">
        <w:rPr>
          <w:rFonts w:eastAsia="Times New Roman" w:cstheme="minorHAnsi"/>
          <w:lang w:eastAsia="fr-FR"/>
        </w:rPr>
        <w:t xml:space="preserve"> (rhapsodies), à partir du II</w:t>
      </w:r>
      <w:r w:rsidRPr="00EA5EBA">
        <w:rPr>
          <w:rFonts w:eastAsia="Times New Roman" w:cstheme="minorHAnsi"/>
          <w:vertAlign w:val="superscript"/>
          <w:lang w:eastAsia="fr-FR"/>
        </w:rPr>
        <w:t>e</w:t>
      </w:r>
      <w:r w:rsidRPr="00EA5EBA">
        <w:rPr>
          <w:rFonts w:eastAsia="Times New Roman" w:cstheme="minorHAnsi"/>
          <w:lang w:eastAsia="fr-FR"/>
        </w:rPr>
        <w:t xml:space="preserve"> siècle avant J.-C., cherchent à ‘exposer’ defaçon exhaustive un ‘objet’, mêlant description, énumération et narration. Unetradition picturale documentée depuis le X</w:t>
      </w:r>
      <w:r w:rsidRPr="00EA5EBA">
        <w:rPr>
          <w:rFonts w:eastAsia="Times New Roman" w:cstheme="minorHAnsi"/>
          <w:vertAlign w:val="superscript"/>
          <w:lang w:eastAsia="fr-FR"/>
        </w:rPr>
        <w:t>e</w:t>
      </w:r>
      <w:r w:rsidRPr="00EA5EBA">
        <w:rPr>
          <w:rFonts w:eastAsia="Times New Roman" w:cstheme="minorHAnsi"/>
          <w:lang w:eastAsia="fr-FR"/>
        </w:rPr>
        <w:t xml:space="preserve"> siècle illustre successivement des</w:t>
      </w:r>
    </w:p>
    <w:p w:rsidR="00A11EFC" w:rsidRDefault="00EA5EBA" w:rsidP="00EA5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EA5EBA">
        <w:rPr>
          <w:rFonts w:eastAsia="Times New Roman" w:cstheme="minorHAnsi"/>
          <w:lang w:eastAsia="fr-FR"/>
        </w:rPr>
        <w:t xml:space="preserve">passages choisis des </w:t>
      </w:r>
      <w:proofErr w:type="spellStart"/>
      <w:r w:rsidRPr="00EA5EBA">
        <w:rPr>
          <w:rFonts w:eastAsia="Times New Roman" w:cstheme="minorHAnsi"/>
          <w:i/>
          <w:lang w:eastAsia="fr-FR"/>
        </w:rPr>
        <w:t>fu</w:t>
      </w:r>
      <w:proofErr w:type="spellEnd"/>
      <w:r w:rsidRPr="00EA5EBA">
        <w:rPr>
          <w:rFonts w:eastAsia="Times New Roman" w:cstheme="minorHAnsi"/>
          <w:lang w:eastAsia="fr-FR"/>
        </w:rPr>
        <w:t>, dans l’espace horizontal du rouleau. VL et CL mettront enévidence les rapports entre texte et images, du point de vue du séquençage, del'articulation et de la mise en récit.</w:t>
      </w:r>
    </w:p>
    <w:p w:rsidR="002C3B08" w:rsidRPr="00EA5EBA" w:rsidRDefault="002C3B08" w:rsidP="00EA5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rsidR="00606536" w:rsidRPr="0034109F" w:rsidRDefault="00A11EFC" w:rsidP="00094D5B">
      <w:pPr>
        <w:ind w:firstLine="708"/>
        <w:rPr>
          <w:rStyle w:val="Emphaseintense"/>
        </w:rPr>
      </w:pPr>
      <w:r w:rsidRPr="0034109F">
        <w:rPr>
          <w:rStyle w:val="Emphaseintense"/>
        </w:rPr>
        <w:t xml:space="preserve">2.3. </w:t>
      </w:r>
      <w:r w:rsidR="00606536" w:rsidRPr="0034109F">
        <w:rPr>
          <w:rStyle w:val="Emphaseintense"/>
        </w:rPr>
        <w:t xml:space="preserve">Les images mobiles en Chine et au Japon </w:t>
      </w:r>
      <w:r w:rsidR="0044275B" w:rsidRPr="0034109F">
        <w:rPr>
          <w:rStyle w:val="Emphaseintense"/>
        </w:rPr>
        <w:t>–CL et EB</w:t>
      </w:r>
      <w:r w:rsidR="00606536" w:rsidRPr="0034109F">
        <w:rPr>
          <w:rStyle w:val="Emphaseintense"/>
        </w:rPr>
        <w:t xml:space="preserve">. </w:t>
      </w:r>
    </w:p>
    <w:p w:rsidR="00606536" w:rsidRDefault="00606536" w:rsidP="002637D1">
      <w:r>
        <w:rPr>
          <w:color w:val="2A2A2A"/>
        </w:rPr>
        <w:t>De nombreux récits</w:t>
      </w:r>
      <w:r>
        <w:rPr>
          <w:rFonts w:ascii="Calibri" w:eastAsia="Calibri" w:hAnsi="Calibri" w:cs="Times New Roman"/>
          <w:color w:val="2A2A2A"/>
        </w:rPr>
        <w:t xml:space="preserve"> en Chine et au Japon ont donné lieu à des mises en images </w:t>
      </w:r>
      <w:r w:rsidR="00567AE8">
        <w:rPr>
          <w:rFonts w:ascii="Calibri" w:eastAsia="Calibri" w:hAnsi="Calibri" w:cs="Times New Roman"/>
          <w:color w:val="2A2A2A"/>
        </w:rPr>
        <w:t>et</w:t>
      </w:r>
      <w:r>
        <w:rPr>
          <w:rFonts w:ascii="Calibri" w:eastAsia="Calibri" w:hAnsi="Calibri" w:cs="Times New Roman"/>
          <w:color w:val="2A2A2A"/>
        </w:rPr>
        <w:t xml:space="preserve"> à une longue tradition iconographique. Ces images sur rouleaux, albums, éventails ou paravents décrivent tout ou partie du récit</w:t>
      </w:r>
      <w:r>
        <w:rPr>
          <w:color w:val="2A2A2A"/>
        </w:rPr>
        <w:t>,</w:t>
      </w:r>
      <w:r>
        <w:rPr>
          <w:rFonts w:ascii="Calibri" w:eastAsia="Calibri" w:hAnsi="Calibri" w:cs="Times New Roman"/>
          <w:color w:val="2A2A2A"/>
        </w:rPr>
        <w:t xml:space="preserve"> en une ou plusieurs scènes.</w:t>
      </w:r>
    </w:p>
    <w:p w:rsidR="00606536" w:rsidRDefault="00FA1AC0" w:rsidP="002637D1">
      <w:r>
        <w:rPr>
          <w:color w:val="2A2A2A"/>
        </w:rPr>
        <w:t>CL et EBétudient</w:t>
      </w:r>
      <w:r w:rsidR="00606536">
        <w:rPr>
          <w:rFonts w:ascii="Calibri" w:eastAsia="Calibri" w:hAnsi="Calibri" w:cs="Times New Roman"/>
          <w:color w:val="2A2A2A"/>
        </w:rPr>
        <w:t xml:space="preserve"> les modalités de transposition du texte en image, en tenant compte de la présence ou non du texte, de son découpage et de sa mise en forme, du rayonnement des traditions </w:t>
      </w:r>
      <w:r w:rsidR="00606536">
        <w:rPr>
          <w:rFonts w:ascii="Calibri" w:eastAsia="Calibri" w:hAnsi="Calibri" w:cs="Times New Roman"/>
          <w:color w:val="2A2A2A"/>
        </w:rPr>
        <w:lastRenderedPageBreak/>
        <w:t>iconographiques (emprunts, contamination, etc</w:t>
      </w:r>
      <w:r w:rsidR="00606536">
        <w:rPr>
          <w:color w:val="2A2A2A"/>
        </w:rPr>
        <w:t>.</w:t>
      </w:r>
      <w:r w:rsidR="00606536">
        <w:rPr>
          <w:rFonts w:ascii="Calibri" w:eastAsia="Calibri" w:hAnsi="Calibri" w:cs="Times New Roman"/>
          <w:color w:val="2A2A2A"/>
        </w:rPr>
        <w:t>), de l'importance du support.</w:t>
      </w:r>
      <w:r>
        <w:rPr>
          <w:color w:val="2A2A2A"/>
        </w:rPr>
        <w:t>L’</w:t>
      </w:r>
      <w:r w:rsidR="00606536">
        <w:rPr>
          <w:color w:val="2A2A2A"/>
        </w:rPr>
        <w:t xml:space="preserve">étude vise à une typologie qui permette une comparaison avec </w:t>
      </w:r>
      <w:r>
        <w:rPr>
          <w:color w:val="2A2A2A"/>
        </w:rPr>
        <w:t>d’autres</w:t>
      </w:r>
      <w:r w:rsidR="00606536">
        <w:rPr>
          <w:color w:val="2A2A2A"/>
        </w:rPr>
        <w:t xml:space="preserve"> traditions.</w:t>
      </w:r>
      <w:r w:rsidR="007B1A78">
        <w:t xml:space="preserve"> Voir</w:t>
      </w:r>
      <w:r w:rsidR="007727FC">
        <w:t>2.</w:t>
      </w:r>
      <w:r w:rsidR="004B18D1">
        <w:t>7</w:t>
      </w:r>
      <w:r w:rsidR="00514835">
        <w:t>.</w:t>
      </w:r>
    </w:p>
    <w:p w:rsidR="00606536" w:rsidRPr="0034109F" w:rsidRDefault="00606536" w:rsidP="00094D5B">
      <w:pPr>
        <w:ind w:firstLine="708"/>
        <w:rPr>
          <w:rStyle w:val="Emphaseintense"/>
        </w:rPr>
      </w:pPr>
      <w:r w:rsidRPr="0034109F">
        <w:rPr>
          <w:rStyle w:val="Emphaseintense"/>
        </w:rPr>
        <w:t xml:space="preserve">2.4. Images chinoises des enfers </w:t>
      </w:r>
      <w:r w:rsidR="0044275B" w:rsidRPr="0034109F">
        <w:rPr>
          <w:rStyle w:val="Emphaseintense"/>
        </w:rPr>
        <w:t>–VDD et PR</w:t>
      </w:r>
    </w:p>
    <w:p w:rsidR="00DA32D6" w:rsidRDefault="00E35B52" w:rsidP="002637D1">
      <w:r w:rsidRPr="00A82C8B">
        <w:rPr>
          <w:noProof/>
          <w:lang w:eastAsia="fr-FR"/>
        </w:rPr>
        <w:drawing>
          <wp:anchor distT="0" distB="0" distL="114300" distR="114300" simplePos="0" relativeHeight="251657216" behindDoc="0" locked="0" layoutInCell="1" allowOverlap="1">
            <wp:simplePos x="0" y="0"/>
            <wp:positionH relativeFrom="column">
              <wp:posOffset>-33020</wp:posOffset>
            </wp:positionH>
            <wp:positionV relativeFrom="paragraph">
              <wp:posOffset>-42545</wp:posOffset>
            </wp:positionV>
            <wp:extent cx="1419225" cy="1962150"/>
            <wp:effectExtent l="19050" t="0" r="9525" b="0"/>
            <wp:wrapSquare wrapText="bothSides"/>
            <wp:docPr id="3" name="Image 2" descr="VDD4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D417-c.jpg"/>
                    <pic:cNvPicPr/>
                  </pic:nvPicPr>
                  <pic:blipFill>
                    <a:blip r:embed="rId8" cstate="print"/>
                    <a:stretch>
                      <a:fillRect/>
                    </a:stretch>
                  </pic:blipFill>
                  <pic:spPr>
                    <a:xfrm>
                      <a:off x="0" y="0"/>
                      <a:ext cx="1419225" cy="1962150"/>
                    </a:xfrm>
                    <a:prstGeom prst="rect">
                      <a:avLst/>
                    </a:prstGeom>
                  </pic:spPr>
                </pic:pic>
              </a:graphicData>
            </a:graphic>
          </wp:anchor>
        </w:drawing>
      </w:r>
      <w:r w:rsidR="00A82C8B" w:rsidRPr="00A82C8B">
        <w:rPr>
          <w:rFonts w:ascii="Calibri" w:eastAsia="Times New Roman" w:hAnsi="Calibri" w:cs="Times New Roman"/>
        </w:rPr>
        <w:t>VDD et PR étudieront la riche tradition iconographique chinoise liée au récit du voyage aux enfers, qui depuis le IXe siècle s’appuie sur des textes religieux comme sur des romans en langue vulgaire. Les images qui s’y réfèrent, accompagnées de texte ou non, insistent tantôt sur le déroulement du périple, tantôt mettent l’accent sur le récit d’une étape et sur les illustres personnages qui y participent. VDD et PR analyseront l’articulation entre genre narratif et mise en image du récit.</w:t>
      </w:r>
      <w:r w:rsidR="007727FC">
        <w:t xml:space="preserve"> Voir 2.</w:t>
      </w:r>
      <w:r w:rsidR="00514835">
        <w:t>5.</w:t>
      </w:r>
    </w:p>
    <w:p w:rsidR="00094D5B" w:rsidRPr="0034109F" w:rsidRDefault="00094D5B" w:rsidP="00094D5B">
      <w:pPr>
        <w:ind w:firstLine="708"/>
        <w:rPr>
          <w:rStyle w:val="Emphaseintense"/>
        </w:rPr>
      </w:pPr>
      <w:r w:rsidRPr="0034109F">
        <w:rPr>
          <w:rStyle w:val="Emphaseintense"/>
        </w:rPr>
        <w:t xml:space="preserve">2.5. Les </w:t>
      </w:r>
      <w:proofErr w:type="spellStart"/>
      <w:r w:rsidRPr="0034109F">
        <w:rPr>
          <w:rStyle w:val="Emphaseintense"/>
        </w:rPr>
        <w:t>Buchen</w:t>
      </w:r>
      <w:proofErr w:type="spellEnd"/>
      <w:r w:rsidRPr="0034109F">
        <w:rPr>
          <w:rStyle w:val="Emphaseintense"/>
        </w:rPr>
        <w:t xml:space="preserve"> du </w:t>
      </w:r>
      <w:proofErr w:type="spellStart"/>
      <w:r w:rsidRPr="0034109F">
        <w:rPr>
          <w:rStyle w:val="Emphaseintense"/>
        </w:rPr>
        <w:t>Spiti</w:t>
      </w:r>
      <w:proofErr w:type="spellEnd"/>
      <w:r w:rsidRPr="0034109F">
        <w:rPr>
          <w:rStyle w:val="Emphaseintense"/>
        </w:rPr>
        <w:t xml:space="preserve">, Himalaya occidental - </w:t>
      </w:r>
      <w:r w:rsidR="0044275B" w:rsidRPr="0034109F">
        <w:rPr>
          <w:rStyle w:val="Emphaseintense"/>
        </w:rPr>
        <w:t>PD</w:t>
      </w:r>
    </w:p>
    <w:p w:rsidR="00094D5B" w:rsidRDefault="0074619A" w:rsidP="00094D5B">
      <w:r>
        <w:t>Les Buc</w:t>
      </w:r>
      <w:r w:rsidR="00094D5B">
        <w:t xml:space="preserve">hen sont des bateleurs itinérants qui racontent les histoires </w:t>
      </w:r>
      <w:r>
        <w:t>édifiantes du répertoire bouddhiste tibétain</w:t>
      </w:r>
      <w:r w:rsidR="00094D5B">
        <w:t xml:space="preserve"> en s’aidant d’images peintes</w:t>
      </w:r>
      <w:r>
        <w:t xml:space="preserve"> ou en les mettant en scène.</w:t>
      </w:r>
      <w:r w:rsidR="00094D5B">
        <w:t xml:space="preserve"> P</w:t>
      </w:r>
      <w:r w:rsidR="0044275B">
        <w:t>D</w:t>
      </w:r>
      <w:r w:rsidR="00094D5B">
        <w:t xml:space="preserve"> souhaite suivre certains d’entre eux, enregistrer ou filmer différentes étapes de leur pérégrination et de leur discours, analyser le rapport entre </w:t>
      </w:r>
      <w:r>
        <w:t xml:space="preserve">texte, </w:t>
      </w:r>
      <w:r w:rsidR="007727FC">
        <w:t>parole vive</w:t>
      </w:r>
      <w:r w:rsidR="00094D5B">
        <w:t xml:space="preserve"> et image dans l’interaction du </w:t>
      </w:r>
      <w:r w:rsidR="0045046D">
        <w:rPr>
          <w:i/>
        </w:rPr>
        <w:t>B</w:t>
      </w:r>
      <w:r w:rsidR="00094D5B" w:rsidRPr="00094D5B">
        <w:rPr>
          <w:i/>
        </w:rPr>
        <w:t>uchen</w:t>
      </w:r>
      <w:r w:rsidR="00094D5B">
        <w:t xml:space="preserve"> avec son public.</w:t>
      </w:r>
      <w:r w:rsidR="007727FC">
        <w:t xml:space="preserve"> Voir 2.</w:t>
      </w:r>
      <w:r w:rsidR="00514835">
        <w:t xml:space="preserve">1, </w:t>
      </w:r>
      <w:r w:rsidR="007727FC">
        <w:t>2.</w:t>
      </w:r>
      <w:r w:rsidR="00514835">
        <w:t>3 et</w:t>
      </w:r>
      <w:r w:rsidR="007727FC">
        <w:t xml:space="preserve"> 2.</w:t>
      </w:r>
      <w:r w:rsidR="00514835">
        <w:t>4.</w:t>
      </w:r>
    </w:p>
    <w:p w:rsidR="00DA32D6" w:rsidRPr="0034109F" w:rsidRDefault="00077505" w:rsidP="00094D5B">
      <w:pPr>
        <w:ind w:firstLine="708"/>
        <w:rPr>
          <w:rStyle w:val="Emphaseintense"/>
        </w:rPr>
      </w:pPr>
      <w:r>
        <w:rPr>
          <w:rStyle w:val="Emphaseintense"/>
        </w:rPr>
        <w:t>2.6</w:t>
      </w:r>
      <w:r w:rsidR="00DA32D6" w:rsidRPr="0034109F">
        <w:rPr>
          <w:rStyle w:val="Emphaseintense"/>
        </w:rPr>
        <w:t xml:space="preserve">. </w:t>
      </w:r>
      <w:r w:rsidR="007B1A78">
        <w:rPr>
          <w:rStyle w:val="Emphaseintense"/>
        </w:rPr>
        <w:t>Viesde</w:t>
      </w:r>
      <w:r w:rsidR="00094D5B" w:rsidRPr="0034109F">
        <w:rPr>
          <w:rStyle w:val="Emphaseintense"/>
        </w:rPr>
        <w:t>Bouddh</w:t>
      </w:r>
      <w:r w:rsidR="004428C3" w:rsidRPr="0034109F">
        <w:rPr>
          <w:rStyle w:val="Emphaseintense"/>
        </w:rPr>
        <w:t xml:space="preserve">a </w:t>
      </w:r>
      <w:r w:rsidR="0044275B" w:rsidRPr="0034109F">
        <w:rPr>
          <w:rStyle w:val="Emphaseintense"/>
        </w:rPr>
        <w:t>–PD et FJ</w:t>
      </w:r>
      <w:r w:rsidR="00094D5B" w:rsidRPr="0034109F">
        <w:rPr>
          <w:rStyle w:val="Emphaseintense"/>
        </w:rPr>
        <w:t> </w:t>
      </w:r>
    </w:p>
    <w:p w:rsidR="00077505" w:rsidRDefault="00713C68" w:rsidP="00EB2F06">
      <w:r>
        <w:rPr>
          <w:noProof/>
          <w:lang w:eastAsia="fr-FR"/>
        </w:rPr>
        <w:drawing>
          <wp:anchor distT="0" distB="0" distL="114300" distR="114300" simplePos="0" relativeHeight="251659264" behindDoc="0" locked="0" layoutInCell="1" allowOverlap="1">
            <wp:simplePos x="0" y="0"/>
            <wp:positionH relativeFrom="column">
              <wp:posOffset>-4445</wp:posOffset>
            </wp:positionH>
            <wp:positionV relativeFrom="paragraph">
              <wp:posOffset>184785</wp:posOffset>
            </wp:positionV>
            <wp:extent cx="2250440" cy="1685925"/>
            <wp:effectExtent l="19050" t="0" r="0" b="0"/>
            <wp:wrapSquare wrapText="bothSides"/>
            <wp:docPr id="6" name="rg_hi" descr="https://encrypted-tbn2.gstatic.com/images?q=tbn:ANd9GcRU92p2Fs_sSRfnJbxvqUIXNxi-Igbx6wd5bXz9gZ5Z918dlJ9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RU92p2Fs_sSRfnJbxvqUIXNxi-Igbx6wd5bXz9gZ5Z918dlJ9tNg"/>
                    <pic:cNvPicPr>
                      <a:picLocks noChangeAspect="1" noChangeArrowheads="1"/>
                    </pic:cNvPicPr>
                  </pic:nvPicPr>
                  <pic:blipFill>
                    <a:blip r:embed="rId9" cstate="print"/>
                    <a:srcRect/>
                    <a:stretch>
                      <a:fillRect/>
                    </a:stretch>
                  </pic:blipFill>
                  <pic:spPr bwMode="auto">
                    <a:xfrm>
                      <a:off x="0" y="0"/>
                      <a:ext cx="2250440" cy="1685925"/>
                    </a:xfrm>
                    <a:prstGeom prst="rect">
                      <a:avLst/>
                    </a:prstGeom>
                    <a:noFill/>
                    <a:ln w="9525">
                      <a:noFill/>
                      <a:miter lim="800000"/>
                      <a:headEnd/>
                      <a:tailEnd/>
                    </a:ln>
                  </pic:spPr>
                </pic:pic>
              </a:graphicData>
            </a:graphic>
          </wp:anchor>
        </w:drawing>
      </w:r>
      <w:r w:rsidR="004428C3">
        <w:t xml:space="preserve">Il existe dans </w:t>
      </w:r>
      <w:r w:rsidR="007727FC">
        <w:t xml:space="preserve">le monde indien </w:t>
      </w:r>
      <w:r w:rsidR="007727FC" w:rsidRPr="007727FC">
        <w:rPr>
          <w:i/>
        </w:rPr>
        <w:t>lato sensu</w:t>
      </w:r>
      <w:r w:rsidR="004428C3">
        <w:t xml:space="preserve"> une vaste tradition iconographique des Vies de Bouddha. </w:t>
      </w:r>
      <w:r w:rsidR="00706D88">
        <w:t xml:space="preserve">Cette tradition fait un parallèle </w:t>
      </w:r>
      <w:r w:rsidR="001458FE">
        <w:t>avec celle qui concerne Jésus.S</w:t>
      </w:r>
      <w:r w:rsidR="00706D88">
        <w:t xml:space="preserve">i ce fait est bien connu, on n’a jamais </w:t>
      </w:r>
      <w:r w:rsidR="00514835">
        <w:t>étudié</w:t>
      </w:r>
      <w:r w:rsidR="00706D88">
        <w:t xml:space="preserve"> les procédés narratifs des versions iconographiques sous cet angle. PD et FJ</w:t>
      </w:r>
      <w:r w:rsidR="001458FE">
        <w:t xml:space="preserve"> mèneront l’enquête dans quelques lieux particulièrement importants</w:t>
      </w:r>
      <w:r w:rsidR="00776C9E">
        <w:t xml:space="preserve"> (photo ci-contre : </w:t>
      </w:r>
      <w:proofErr w:type="spellStart"/>
      <w:r w:rsidR="00776C9E">
        <w:t>Sanchi</w:t>
      </w:r>
      <w:proofErr w:type="spellEnd"/>
      <w:r w:rsidR="00776C9E">
        <w:t>, Inde)</w:t>
      </w:r>
      <w:r w:rsidR="00514835">
        <w:t>, afin d’examiner la diversité du choix des scènes selon lesdiverses traditions bouddhiques (Theravada, bouddhisme tibétain)</w:t>
      </w:r>
      <w:r w:rsidR="00715850">
        <w:t>, et pour les comparer aux traditions écrites</w:t>
      </w:r>
      <w:r w:rsidR="001458FE">
        <w:t>.</w:t>
      </w:r>
      <w:r w:rsidR="007727FC">
        <w:t>L</w:t>
      </w:r>
      <w:r w:rsidR="00776C9E">
        <w:t>a diversité des supports (sculptures, peintures</w:t>
      </w:r>
      <w:r w:rsidR="00B564FF">
        <w:t xml:space="preserve"> murales ou mobiles</w:t>
      </w:r>
      <w:r w:rsidR="00776C9E">
        <w:t>)</w:t>
      </w:r>
      <w:r w:rsidR="00EF6F9B">
        <w:t xml:space="preserve"> joue un rôle très important.</w:t>
      </w:r>
    </w:p>
    <w:p w:rsidR="00EB2F06" w:rsidRDefault="00077505" w:rsidP="00EB2F06">
      <w:r>
        <w:t>En outre, deux doctorants, NM et KNL nous aideront dans le cadre de leur thèse et post-doctorat, l’un au Ladakh (Inde)</w:t>
      </w:r>
      <w:r w:rsidR="007727FC">
        <w:t>, l’autre au Tibet. Voir 2.</w:t>
      </w:r>
      <w:r>
        <w:t>7</w:t>
      </w:r>
      <w:r w:rsidR="00E12C07">
        <w:t>.</w:t>
      </w:r>
    </w:p>
    <w:p w:rsidR="00DA32D6" w:rsidRPr="0034109F" w:rsidRDefault="00077505" w:rsidP="001458FE">
      <w:pPr>
        <w:ind w:firstLine="708"/>
        <w:rPr>
          <w:rStyle w:val="Emphaseintense"/>
        </w:rPr>
      </w:pPr>
      <w:r>
        <w:rPr>
          <w:rStyle w:val="Emphaseintense"/>
        </w:rPr>
        <w:t>2.7</w:t>
      </w:r>
      <w:r w:rsidR="007B1A78">
        <w:rPr>
          <w:rStyle w:val="Emphaseintense"/>
        </w:rPr>
        <w:t>. Vies</w:t>
      </w:r>
      <w:r w:rsidR="00BC716C" w:rsidRPr="0034109F">
        <w:rPr>
          <w:rStyle w:val="Emphaseintense"/>
        </w:rPr>
        <w:t xml:space="preserve"> de Jésus, une typologie du contact texte/images – </w:t>
      </w:r>
      <w:r w:rsidR="00B80E9A" w:rsidRPr="0034109F">
        <w:rPr>
          <w:rStyle w:val="Emphaseintense"/>
        </w:rPr>
        <w:t>PD et FJ</w:t>
      </w:r>
    </w:p>
    <w:p w:rsidR="00B80E9A" w:rsidRDefault="008F56D0" w:rsidP="00B80E9A">
      <w:r>
        <w:t>Le grand nombre d’images</w:t>
      </w:r>
      <w:r w:rsidR="00B80E9A">
        <w:t xml:space="preserve"> produit par le christianisme a été largement exploré, mais si l’identification des scènes dans les cycles ‘narratifs’ est </w:t>
      </w:r>
      <w:r w:rsidR="00514835">
        <w:t>très avancée</w:t>
      </w:r>
      <w:r w:rsidR="00B80E9A">
        <w:t xml:space="preserve">, l’étude comparative des cycles d’images et la comparaison avec les sources textuelles, au sens d’une analyse des séquences, reste largement à faire. PD et FJ souhaitent procéder à la sélection et l’étude de quelques cycles particulièrement </w:t>
      </w:r>
      <w:r>
        <w:t>signific</w:t>
      </w:r>
      <w:r w:rsidR="00B80E9A">
        <w:t>atifs.</w:t>
      </w:r>
      <w:r w:rsidR="007F04BC">
        <w:t>Selon que les sites sont plus ou moins vastes, on voit le corpus se dilater ou se restreindre, ce qui est intéressant au plan narratif.</w:t>
      </w:r>
      <w:r w:rsidR="00077505">
        <w:t xml:space="preserve">Cette thématique sera complétée par l’étude de cycles non religieux. </w:t>
      </w:r>
      <w:r w:rsidR="00B80E9A">
        <w:t xml:space="preserve">Voir </w:t>
      </w:r>
      <w:r w:rsidR="007B06D0">
        <w:t>2.</w:t>
      </w:r>
      <w:r w:rsidR="00B80E9A">
        <w:t>3</w:t>
      </w:r>
      <w:r w:rsidR="004B18D1">
        <w:t xml:space="preserve">et </w:t>
      </w:r>
      <w:r w:rsidR="007B06D0">
        <w:t>2.</w:t>
      </w:r>
      <w:r w:rsidR="00514835">
        <w:t>6</w:t>
      </w:r>
      <w:r w:rsidR="00B80E9A">
        <w:t>.</w:t>
      </w:r>
    </w:p>
    <w:p w:rsidR="00F867F8" w:rsidRDefault="00F867F8" w:rsidP="0034109F">
      <w:pPr>
        <w:pStyle w:val="Sous-titre"/>
      </w:pPr>
    </w:p>
    <w:p w:rsidR="00F867F8" w:rsidRDefault="00F867F8" w:rsidP="0034109F">
      <w:pPr>
        <w:pStyle w:val="Sous-titre"/>
      </w:pPr>
    </w:p>
    <w:p w:rsidR="00CA4E16" w:rsidRDefault="00CA4E16" w:rsidP="0034109F">
      <w:pPr>
        <w:pStyle w:val="Sous-titre"/>
      </w:pPr>
      <w:r>
        <w:t>3. Les résultats</w:t>
      </w:r>
    </w:p>
    <w:p w:rsidR="00715850" w:rsidRDefault="0039342F">
      <w:r>
        <w:t>Des journées d’étude</w:t>
      </w:r>
      <w:r w:rsidR="00715850">
        <w:t xml:space="preserve"> organisées au cours du projet, au rythme probable de quatre par an (complétées par des rencontres informelles), nous</w:t>
      </w:r>
      <w:r>
        <w:t xml:space="preserve"> mènero</w:t>
      </w:r>
      <w:r w:rsidR="00CA4E16">
        <w:t>ntà</w:t>
      </w:r>
      <w:r w:rsidR="00427895">
        <w:t xml:space="preserve"> un colloque final</w:t>
      </w:r>
      <w:r w:rsidR="00776C9E">
        <w:t xml:space="preserve"> où nous souhaitons inviter des participants étrangers (Chine, Japon, Italie),</w:t>
      </w:r>
      <w:r w:rsidR="00427895">
        <w:t xml:space="preserve"> et à</w:t>
      </w:r>
      <w:r w:rsidR="00CA4E16">
        <w:t xml:space="preserve"> un volume</w:t>
      </w:r>
      <w:r w:rsidR="00427895">
        <w:t xml:space="preserve"> collectif</w:t>
      </w:r>
      <w:r w:rsidR="00715850">
        <w:t xml:space="preserve">soigneusement </w:t>
      </w:r>
      <w:r w:rsidR="00CA4E16">
        <w:t>illustré.</w:t>
      </w:r>
    </w:p>
    <w:p w:rsidR="0039342F" w:rsidRDefault="0039342F">
      <w:r>
        <w:t>Nous prévoyons</w:t>
      </w:r>
      <w:r w:rsidR="00715850">
        <w:t xml:space="preserve"> aussi</w:t>
      </w:r>
      <w:r>
        <w:t xml:space="preserve"> une exposition (peut-être </w:t>
      </w:r>
      <w:r w:rsidR="00E12C07">
        <w:t xml:space="preserve">au musée du Quai </w:t>
      </w:r>
      <w:r>
        <w:t>Branly)</w:t>
      </w:r>
      <w:r w:rsidR="00715850">
        <w:t xml:space="preserve"> destinée à présenter </w:t>
      </w:r>
      <w:r w:rsidR="00776C9E">
        <w:t>des</w:t>
      </w:r>
      <w:r w:rsidR="00715850">
        <w:t xml:space="preserve"> séries d’images </w:t>
      </w:r>
      <w:r w:rsidR="0045046D">
        <w:t xml:space="preserve"> (rouleaux, peintures, sculptures, paravents) </w:t>
      </w:r>
      <w:r w:rsidR="00715850">
        <w:t>ou objets commentés, afin de rendre nos conclusions accessibles à un plus vaste public</w:t>
      </w:r>
      <w:r>
        <w:t>.</w:t>
      </w:r>
    </w:p>
    <w:p w:rsidR="00776C9E" w:rsidRDefault="00776C9E">
      <w:r>
        <w:t>D’autre part, tout au long du projet et ensuite, le ‘journal’ de nos activités et une part de nos archives seront accessibles sur les pages web dédiées sur le site du laboratoire LACITO (UMR7107), porteur du projet.</w:t>
      </w:r>
    </w:p>
    <w:sectPr w:rsidR="00776C9E" w:rsidSect="001F7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A5D65"/>
    <w:rsid w:val="00012354"/>
    <w:rsid w:val="00025F5D"/>
    <w:rsid w:val="00077505"/>
    <w:rsid w:val="00086E25"/>
    <w:rsid w:val="00094D5B"/>
    <w:rsid w:val="00132321"/>
    <w:rsid w:val="00133972"/>
    <w:rsid w:val="001458FE"/>
    <w:rsid w:val="001704EF"/>
    <w:rsid w:val="001C28A6"/>
    <w:rsid w:val="001E4268"/>
    <w:rsid w:val="001F7BF6"/>
    <w:rsid w:val="002637D1"/>
    <w:rsid w:val="00285B9B"/>
    <w:rsid w:val="002B37C2"/>
    <w:rsid w:val="002C3B08"/>
    <w:rsid w:val="0030523C"/>
    <w:rsid w:val="003371C7"/>
    <w:rsid w:val="0034109F"/>
    <w:rsid w:val="003655AB"/>
    <w:rsid w:val="003748F8"/>
    <w:rsid w:val="0038543E"/>
    <w:rsid w:val="0039342F"/>
    <w:rsid w:val="003B3D86"/>
    <w:rsid w:val="003D68FC"/>
    <w:rsid w:val="003F6017"/>
    <w:rsid w:val="00411860"/>
    <w:rsid w:val="00427702"/>
    <w:rsid w:val="00427895"/>
    <w:rsid w:val="0044275B"/>
    <w:rsid w:val="004428C3"/>
    <w:rsid w:val="0045046D"/>
    <w:rsid w:val="00481372"/>
    <w:rsid w:val="00482732"/>
    <w:rsid w:val="004B18D1"/>
    <w:rsid w:val="004F2073"/>
    <w:rsid w:val="00514835"/>
    <w:rsid w:val="00555DB9"/>
    <w:rsid w:val="00567AE8"/>
    <w:rsid w:val="005A67D1"/>
    <w:rsid w:val="00606536"/>
    <w:rsid w:val="006247F4"/>
    <w:rsid w:val="006371CC"/>
    <w:rsid w:val="00664E7C"/>
    <w:rsid w:val="00687BF6"/>
    <w:rsid w:val="00706D88"/>
    <w:rsid w:val="00713C68"/>
    <w:rsid w:val="00715850"/>
    <w:rsid w:val="0074619A"/>
    <w:rsid w:val="00767922"/>
    <w:rsid w:val="007727FC"/>
    <w:rsid w:val="00772C14"/>
    <w:rsid w:val="00776C9E"/>
    <w:rsid w:val="00796351"/>
    <w:rsid w:val="007B06D0"/>
    <w:rsid w:val="007B1A78"/>
    <w:rsid w:val="007F0474"/>
    <w:rsid w:val="007F04BC"/>
    <w:rsid w:val="00801796"/>
    <w:rsid w:val="00860BCD"/>
    <w:rsid w:val="008B1F3F"/>
    <w:rsid w:val="008E5670"/>
    <w:rsid w:val="008F56D0"/>
    <w:rsid w:val="00925DEB"/>
    <w:rsid w:val="00991522"/>
    <w:rsid w:val="00A11EFC"/>
    <w:rsid w:val="00A25B6E"/>
    <w:rsid w:val="00A82C8B"/>
    <w:rsid w:val="00A92948"/>
    <w:rsid w:val="00AA3160"/>
    <w:rsid w:val="00AB42BB"/>
    <w:rsid w:val="00B564FF"/>
    <w:rsid w:val="00B80E9A"/>
    <w:rsid w:val="00B9277E"/>
    <w:rsid w:val="00BA0A6D"/>
    <w:rsid w:val="00BA5D65"/>
    <w:rsid w:val="00BC716C"/>
    <w:rsid w:val="00C03EB8"/>
    <w:rsid w:val="00C95249"/>
    <w:rsid w:val="00CA4E16"/>
    <w:rsid w:val="00CB3FC0"/>
    <w:rsid w:val="00CC23A7"/>
    <w:rsid w:val="00CC46F3"/>
    <w:rsid w:val="00D40788"/>
    <w:rsid w:val="00D72447"/>
    <w:rsid w:val="00DA32D6"/>
    <w:rsid w:val="00DB6978"/>
    <w:rsid w:val="00DC4516"/>
    <w:rsid w:val="00DC50A0"/>
    <w:rsid w:val="00DE26E4"/>
    <w:rsid w:val="00E12C07"/>
    <w:rsid w:val="00E35B52"/>
    <w:rsid w:val="00E43E2F"/>
    <w:rsid w:val="00E51CCC"/>
    <w:rsid w:val="00EA5EBA"/>
    <w:rsid w:val="00EB2F06"/>
    <w:rsid w:val="00EE70A4"/>
    <w:rsid w:val="00EF6F9B"/>
    <w:rsid w:val="00F126F9"/>
    <w:rsid w:val="00F81FF2"/>
    <w:rsid w:val="00F867F8"/>
    <w:rsid w:val="00FA1AC0"/>
    <w:rsid w:val="00FB7E7B"/>
    <w:rsid w:val="00FE1CD2"/>
    <w:rsid w:val="00FF28AD"/>
    <w:rsid w:val="00FF3DE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BF6"/>
  </w:style>
  <w:style w:type="paragraph" w:styleId="Titre1">
    <w:name w:val="heading 1"/>
    <w:basedOn w:val="Normal"/>
    <w:next w:val="Normal"/>
    <w:link w:val="Titre1Car"/>
    <w:uiPriority w:val="9"/>
    <w:qFormat/>
    <w:rsid w:val="004B1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1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B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BCD"/>
    <w:rPr>
      <w:rFonts w:ascii="Tahoma" w:hAnsi="Tahoma" w:cs="Tahoma"/>
      <w:sz w:val="16"/>
      <w:szCs w:val="16"/>
    </w:rPr>
  </w:style>
  <w:style w:type="table" w:styleId="Grilledutableau">
    <w:name w:val="Table Grid"/>
    <w:basedOn w:val="TableauNormal"/>
    <w:uiPriority w:val="59"/>
    <w:rsid w:val="00442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34109F"/>
    <w:rPr>
      <w:rFonts w:asciiTheme="majorHAnsi" w:eastAsiaTheme="majorEastAsia" w:hAnsiTheme="majorHAnsi" w:cstheme="majorBidi"/>
      <w:b/>
      <w:bCs/>
      <w:color w:val="4F81BD" w:themeColor="accent1"/>
      <w:sz w:val="26"/>
      <w:szCs w:val="26"/>
    </w:rPr>
  </w:style>
  <w:style w:type="character" w:styleId="Emphaseintense">
    <w:name w:val="Intense Emphasis"/>
    <w:basedOn w:val="Policepardfaut"/>
    <w:uiPriority w:val="21"/>
    <w:qFormat/>
    <w:rsid w:val="0034109F"/>
    <w:rPr>
      <w:b/>
      <w:bCs/>
      <w:i/>
      <w:iCs/>
      <w:color w:val="4F81BD" w:themeColor="accent1"/>
    </w:rPr>
  </w:style>
  <w:style w:type="paragraph" w:styleId="Sous-titre">
    <w:name w:val="Subtitle"/>
    <w:basedOn w:val="Normal"/>
    <w:next w:val="Normal"/>
    <w:link w:val="Sous-titreCar"/>
    <w:uiPriority w:val="11"/>
    <w:qFormat/>
    <w:rsid w:val="00341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4109F"/>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4B18D1"/>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semiHidden/>
    <w:unhideWhenUsed/>
    <w:rsid w:val="00EA5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A5EBA"/>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BF6"/>
  </w:style>
  <w:style w:type="paragraph" w:styleId="Titre1">
    <w:name w:val="heading 1"/>
    <w:basedOn w:val="Normal"/>
    <w:next w:val="Normal"/>
    <w:link w:val="Titre1Car"/>
    <w:uiPriority w:val="9"/>
    <w:qFormat/>
    <w:rsid w:val="004B1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10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B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BCD"/>
    <w:rPr>
      <w:rFonts w:ascii="Tahoma" w:hAnsi="Tahoma" w:cs="Tahoma"/>
      <w:sz w:val="16"/>
      <w:szCs w:val="16"/>
    </w:rPr>
  </w:style>
  <w:style w:type="table" w:styleId="Grille">
    <w:name w:val="Table Grid"/>
    <w:basedOn w:val="TableauNormal"/>
    <w:uiPriority w:val="59"/>
    <w:rsid w:val="00442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34109F"/>
    <w:rPr>
      <w:rFonts w:asciiTheme="majorHAnsi" w:eastAsiaTheme="majorEastAsia" w:hAnsiTheme="majorHAnsi" w:cstheme="majorBidi"/>
      <w:b/>
      <w:bCs/>
      <w:color w:val="4F81BD" w:themeColor="accent1"/>
      <w:sz w:val="26"/>
      <w:szCs w:val="26"/>
    </w:rPr>
  </w:style>
  <w:style w:type="character" w:styleId="Forteaccentuation">
    <w:name w:val="Intense Emphasis"/>
    <w:basedOn w:val="Policepardfaut"/>
    <w:uiPriority w:val="21"/>
    <w:qFormat/>
    <w:rsid w:val="0034109F"/>
    <w:rPr>
      <w:b/>
      <w:bCs/>
      <w:i/>
      <w:iCs/>
      <w:color w:val="4F81BD" w:themeColor="accent1"/>
    </w:rPr>
  </w:style>
  <w:style w:type="paragraph" w:styleId="Sous-titre">
    <w:name w:val="Subtitle"/>
    <w:basedOn w:val="Normal"/>
    <w:next w:val="Normal"/>
    <w:link w:val="Sous-titreCar"/>
    <w:uiPriority w:val="11"/>
    <w:qFormat/>
    <w:rsid w:val="00341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4109F"/>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4B18D1"/>
    <w:rPr>
      <w:rFonts w:asciiTheme="majorHAnsi" w:eastAsiaTheme="majorEastAsia" w:hAnsiTheme="majorHAnsi" w:cstheme="majorBidi"/>
      <w:b/>
      <w:bCs/>
      <w:color w:val="365F91" w:themeColor="accent1" w:themeShade="BF"/>
      <w:sz w:val="28"/>
      <w:szCs w:val="28"/>
    </w:rPr>
  </w:style>
  <w:style w:type="paragraph" w:styleId="HTMLprformat">
    <w:name w:val="HTML Preformatted"/>
    <w:basedOn w:val="Normal"/>
    <w:link w:val="HTMLprformatCar"/>
    <w:uiPriority w:val="99"/>
    <w:semiHidden/>
    <w:unhideWhenUsed/>
    <w:rsid w:val="00EA5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EA5EBA"/>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1297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1834</Words>
  <Characters>10092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Jacquesson</dc:creator>
  <cp:lastModifiedBy>F Jacquesson</cp:lastModifiedBy>
  <cp:revision>3</cp:revision>
  <cp:lastPrinted>2012-10-23T07:37:00Z</cp:lastPrinted>
  <dcterms:created xsi:type="dcterms:W3CDTF">2012-10-23T15:11:00Z</dcterms:created>
  <dcterms:modified xsi:type="dcterms:W3CDTF">2012-10-30T16:50:00Z</dcterms:modified>
</cp:coreProperties>
</file>