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120"/>
        <w:jc w:val="left"/>
        <w:rPr/>
      </w:pPr>
      <w:r>
        <w:rPr>
          <w:rFonts w:eastAsia="Arial" w:cs="Arial"/>
          <w:b/>
          <w:bCs/>
          <w:color w:val="C9A961"/>
          <w:sz w:val="22"/>
          <w:szCs w:val="22"/>
        </w:rPr>
        <w:t>SISTEMA ANI BIS-E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0F2D52"/>
          <w:sz w:val="52"/>
          <w:szCs w:val="52"/>
        </w:rPr>
        <w:t>EB-BIS v7 en ATLAS CNV</w:t>
      </w:r>
    </w:p>
    <w:p>
      <w:pPr>
        <w:pStyle w:val="Normal"/>
        <w:pBdr>
          <w:bottom w:val="single" w:sz="12" w:space="8" w:color="C9A961"/>
        </w:pBdr>
        <w:spacing w:before="0" w:after="600"/>
        <w:rPr/>
      </w:pPr>
      <w:r>
        <w:rPr>
          <w:rFonts w:eastAsia="Arial" w:cs="Arial"/>
          <w:color w:val="0E8C7F"/>
          <w:sz w:val="28"/>
          <w:szCs w:val="28"/>
        </w:rPr>
        <w:t>Especificación de implementación, correcciones previas y pruebas de aceptación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Documento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Especificación de implementación en ATLAS CNV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Cambio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Sustitución del cálculo EB-BIS v5 por EB-BIS v7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Fecha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24 de octubre de 2026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Emite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Gildardo de Jesús Uribe Gil, Director Científico, CNV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Responsable de implementación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Santiago Arroyave, tecnología, CNV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Sustento técnico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Documento técnico EB-BIS v7 (24 de octubre de 2026)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Archivos adjuntos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ebBisV7.js (función de cálculo) · casos.json (casos de prueba)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Clasificación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Uso interno. Confidencial</w:t>
            </w:r>
          </w:p>
        </w:tc>
      </w:tr>
    </w:tbl>
    <w:p>
      <w:pPr>
        <w:pStyle w:val="Normal"/>
        <w:spacing w:before="900" w:after="0"/>
        <w:jc w:val="left"/>
        <w:rPr/>
      </w:pPr>
      <w:r>
        <w:rPr>
          <w:rFonts w:eastAsia="Arial" w:cs="Arial"/>
          <w:color w:val="555555"/>
          <w:sz w:val="18"/>
          <w:szCs w:val="18"/>
        </w:rPr>
        <w:t>Modelo de Atención en Salud, Alimentación y Nutrición Informada basada en Bioimpedancia Espectroscópica y Epigenética (ANI BIS-E) · Connected Nutrition Ventures SAS (CNV) · Observatorio Latinoamericano de Bioimpedancia (OB BIA LATAM) · Medellín, Colombia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Arial" w:cs="Arial"/>
          <w:b/>
          <w:bCs/>
          <w:color w:val="0F2D52"/>
          <w:sz w:val="32"/>
          <w:szCs w:val="32"/>
        </w:rPr>
        <w:t>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012_3479964373">
            <w:r>
              <w:rPr>
                <w:rStyle w:val="IndexLink"/>
              </w:rPr>
              <w:t>1. Qué cambia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14_3479964373">
            <w:r>
              <w:rPr>
                <w:rStyle w:val="IndexLink"/>
              </w:rPr>
              <w:t>2. Errores que deben corregirse antes de implementar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16_3479964373">
            <w:r>
              <w:rPr>
                <w:rStyle w:val="IndexLink"/>
              </w:rPr>
              <w:t>3. Especificación del cálculo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18_3479964373">
            <w:r>
              <w:rPr>
                <w:rStyle w:val="IndexLink"/>
              </w:rPr>
              <w:t>3.1 Entradas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20_3479964373">
            <w:r>
              <w:rPr>
                <w:rStyle w:val="IndexLink"/>
              </w:rPr>
              <w:t>3.2 Algoritmo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22_3479964373">
            <w:r>
              <w:rPr>
                <w:rStyle w:val="IndexLink"/>
              </w:rPr>
              <w:t>3.3 Parámetros (versión 7.0.0)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24_3479964373">
            <w:r>
              <w:rPr>
                <w:rStyle w:val="IndexLink"/>
              </w:rPr>
              <w:t>3.4 Función de referencia (ebBisV7.js)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26_3479964373">
            <w:r>
              <w:rPr>
                <w:rStyle w:val="IndexLink"/>
              </w:rPr>
              <w:t>4. Salidas y presentación en pantalla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28_3479964373">
            <w:r>
              <w:rPr>
                <w:rStyle w:val="IndexLink"/>
              </w:rPr>
              <w:t>5. Versionado y migración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30_3479964373">
            <w:r>
              <w:rPr>
                <w:rStyle w:val="IndexLink"/>
              </w:rPr>
              <w:t>6. Pruebas de aceptación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32_3479964373">
            <w:r>
              <w:rPr>
                <w:rStyle w:val="IndexLink"/>
              </w:rPr>
              <w:t>Anexo A. Códigos de las evaluaciones con errores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40"/>
        <w:rPr/>
      </w:pPr>
      <w:bookmarkStart w:id="0" w:name="__RefHeading___Toc1012_3479964373"/>
      <w:bookmarkEnd w:id="0"/>
      <w:r>
        <w:rPr>
          <w:rFonts w:eastAsia="Arial" w:cs="Arial"/>
        </w:rPr>
        <w:t>1. Qué cambia</w:t>
      </w:r>
    </w:p>
    <w:p>
      <w:pPr>
        <w:pStyle w:val="Normal"/>
        <w:spacing w:lineRule="exact" w:line="276" w:before="0" w:after="120"/>
        <w:jc w:val="both"/>
        <w:rPr/>
      </w:pPr>
      <w:r>
        <w:rPr>
          <w:rFonts w:eastAsia="Arial" w:cs="Arial"/>
        </w:rPr>
        <w:t>La EB-BIS v5 (IFC, PABU e ICEC con intercepto fijo de 41,438 años) se retira del motor de ATLAS y se sustituye por la EB-BIS v7. Los cambios para el motor son cuatro:</w:t>
      </w:r>
    </w:p>
    <w:p>
      <w:pPr>
        <w:pStyle w:val="ListParagraph"/>
        <w:numPr>
          <w:ilvl w:val="0"/>
          <w:numId w:val="5"/>
        </w:numPr>
        <w:spacing w:lineRule="exact" w:line="276" w:before="0" w:after="80"/>
        <w:jc w:val="both"/>
        <w:rPr/>
      </w:pPr>
      <w:r>
        <w:rPr>
          <w:rFonts w:eastAsia="Arial" w:cs="Arial"/>
          <w:b/>
          <w:bCs/>
        </w:rPr>
        <w:t>Nuevas entradas.</w:t>
      </w:r>
      <w:r>
        <w:rPr>
          <w:rFonts w:eastAsia="Arial" w:cs="Arial"/>
        </w:rPr>
        <w:t xml:space="preserve"> El cálculo usa Re, Ri y C del equipo, el peso, la MLG, el ACT y el FMI de la misma evaluación, el sexo y la edad en años cumplidos.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Arial" w:cs="Arial"/>
          <w:b/>
          <w:bCs/>
        </w:rPr>
        <w:t>El ICEC ya no entra al cálculo.</w:t>
      </w:r>
      <w:r>
        <w:rPr>
          <w:rFonts w:eastAsia="Arial" w:cs="Arial"/>
        </w:rPr>
        <w:t xml:space="preserve"> La EB-BIS se calcula aunque la encuesta no esté completa. Desaparece la leyenda "EB-BIS pendiente: requiere encuesta".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Arial" w:cs="Arial"/>
          <w:b/>
          <w:bCs/>
        </w:rPr>
        <w:t>Nueva salida.</w:t>
      </w:r>
      <w:r>
        <w:rPr>
          <w:rFonts w:eastAsia="Arial" w:cs="Arial"/>
        </w:rPr>
        <w:t xml:space="preserve"> Además de la EB-BIS y el IAE, el motor devuelve la z de pares y la alerta de discordancia.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Arial" w:cs="Arial"/>
          <w:b/>
          <w:bCs/>
        </w:rPr>
        <w:t>Recalculo del histórico.</w:t>
      </w:r>
      <w:r>
        <w:rPr>
          <w:rFonts w:eastAsia="Arial" w:cs="Arial"/>
        </w:rPr>
        <w:t xml:space="preserve"> Todas las evaluaciones guardadas se recalculan con la v7 una vez corregidos los errores de la sección 2.</w:t>
      </w:r>
    </w:p>
    <w:p>
      <w:pPr>
        <w:pStyle w:val="Heading1"/>
        <w:keepNext w:val="true"/>
        <w:spacing w:before="280" w:after="140"/>
        <w:rPr/>
      </w:pPr>
      <w:bookmarkStart w:id="1" w:name="__RefHeading___Toc1014_3479964373"/>
      <w:bookmarkEnd w:id="1"/>
      <w:r>
        <w:rPr>
          <w:rFonts w:eastAsia="Arial" w:cs="Arial"/>
        </w:rPr>
        <w:t>2. Errores que deben corregirse antes de implementar</w:t>
      </w:r>
    </w:p>
    <w:p>
      <w:pPr>
        <w:pStyle w:val="Normal"/>
        <w:spacing w:lineRule="exact" w:line="276" w:before="0" w:after="120"/>
        <w:jc w:val="both"/>
        <w:rPr/>
      </w:pPr>
      <w:r>
        <w:rPr>
          <w:rFonts w:eastAsia="Arial" w:cs="Arial"/>
        </w:rPr>
        <w:t>La exportación de la cohorte (366 evaluaciones, 13 de julio a 23 de octubre de 2026) mostró los siguientes errores. Los códigos de cada caso están en el anexo A. Mientras persistan, la EB-BIS de esas evaluaciones no es confiable con ninguna versión de la fórmula.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00"/>
        <w:gridCol w:w="3300"/>
        <w:gridCol w:w="1500"/>
        <w:gridCol w:w="3625"/>
      </w:tblGrid>
      <w:tr>
        <w:trPr>
          <w:tblHeader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N.º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Casos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Corrección solicitada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Una misma medición del equipo quedó asignada a dos evaluaciones iniciales de pacientes distintos, con edades diferentes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4 pares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Revisar la vinculación entre el archivo de medición y el paciente; impedir que una medición se asocie a más de una evaluación inicial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Evaluaciones de seguimiento que repiten los datos crudos y la fecha de la evaluación inicial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6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Impedir que un seguimiento reutilice la medición de la inicial; un control exige una medición nueva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El motor calculó con edad 0 cuando el paciente no tenía edad en ATLAS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13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Exigir fecha de nacimiento antes de calcular; sin edad válida el motor devuelve "pendiente"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El motor calculó con edad 0 o 231 años aunque ATLAS sí tenía la edad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3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Revisar la lectura de la edad en el motor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La edad de ATLAS no coincide con la del equipo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6 (diferencias de 3 a 20 años)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Unificar la fuente de la fecha de nacimiento; si hay discrepancia mayor de 1 año, alertar antes de calcular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El motor redondea la edad hacia arriba (30,95 años pasa a 31) y ATLAS la trunca (30)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11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Usar siempre años cumplidos (truncar)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Evaluaciones de menores de 16 años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3 (13, 13 y 15 años)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La EB-BIS no aplica a menores de 16 años: el motor devuelve "pendiente: edad no válida"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Fuerza prensil registrada solo en 36 de 366 evaluaciones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330 sin dato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Hacer el campo obligatorio en la evaluación inicial y en cada control</w:t>
            </w:r>
          </w:p>
        </w:tc>
      </w:tr>
    </w:tbl>
    <w:p>
      <w:pPr>
        <w:pStyle w:val="Normal"/>
        <w:spacing w:before="60" w:after="160"/>
        <w:jc w:val="left"/>
        <w:rPr/>
      </w:pPr>
      <w:r>
        <w:rPr>
          <w:rFonts w:eastAsia="Arial" w:cs="Arial"/>
          <w:i/>
          <w:iCs/>
          <w:color w:val="444444"/>
          <w:sz w:val="18"/>
          <w:szCs w:val="18"/>
        </w:rPr>
        <w:t>Tabla 1. Errores de datos y del motor detectados en la exportación de ATLAS.</w:t>
      </w:r>
    </w:p>
    <w:p>
      <w:pPr>
        <w:pStyle w:val="Heading1"/>
        <w:keepNext w:val="true"/>
        <w:spacing w:before="280" w:after="140"/>
        <w:rPr/>
      </w:pPr>
      <w:bookmarkStart w:id="2" w:name="__RefHeading___Toc1016_3479964373"/>
      <w:bookmarkEnd w:id="2"/>
      <w:r>
        <w:rPr>
          <w:rFonts w:eastAsia="Arial" w:cs="Arial"/>
        </w:rPr>
        <w:t>3. Especificación del cálculo</w:t>
      </w:r>
    </w:p>
    <w:p>
      <w:pPr>
        <w:pStyle w:val="Heading2"/>
        <w:keepNext w:val="true"/>
        <w:spacing w:before="200" w:after="100"/>
        <w:rPr/>
      </w:pPr>
      <w:bookmarkStart w:id="3" w:name="__RefHeading___Toc1018_3479964373"/>
      <w:bookmarkEnd w:id="3"/>
      <w:r>
        <w:rPr>
          <w:rFonts w:eastAsia="Arial" w:cs="Arial"/>
        </w:rPr>
        <w:t>3.1 Entradas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99"/>
        <w:gridCol w:w="2001"/>
        <w:gridCol w:w="3000"/>
        <w:gridCol w:w="2625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Unidad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Fuente en ATLAS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Regla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sexo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F o 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Ficha del paciente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Obligatoria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edad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años cumplidos (entero)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Fecha de nacimiento y fecha de medición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16 a 100 años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Re, Ri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Ω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Modelo Cole-Cole del equipo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Mayores que 0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C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nF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Modelo Cole-Cole del equipo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Mayor que 0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peso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kg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Evaluación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Mayor que 0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MLG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kg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Composición del equipo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Mayor que 0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ACT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Composición del equipo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Mayor que 0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FMI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kg/m²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Composición del equipo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Mayor que 0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ICEC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0 a 100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Encuesta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Opcional; solo para la alerta</w:t>
            </w:r>
          </w:p>
        </w:tc>
      </w:tr>
    </w:tbl>
    <w:p>
      <w:pPr>
        <w:pStyle w:val="Heading2"/>
        <w:keepNext w:val="true"/>
        <w:spacing w:before="200" w:after="100"/>
        <w:rPr/>
      </w:pPr>
      <w:bookmarkStart w:id="4" w:name="__RefHeading___Toc1020_3479964373"/>
      <w:bookmarkEnd w:id="4"/>
      <w:r>
        <w:rPr>
          <w:rFonts w:eastAsia="Arial" w:cs="Arial"/>
        </w:rPr>
        <w:t>3.2 Algoritmo</w:t>
      </w:r>
    </w:p>
    <w:p>
      <w:pPr>
        <w:pStyle w:val="ListParagraph"/>
        <w:numPr>
          <w:ilvl w:val="0"/>
          <w:numId w:val="6"/>
        </w:numPr>
        <w:spacing w:lineRule="exact" w:line="276" w:before="0" w:after="80"/>
        <w:jc w:val="both"/>
        <w:rPr/>
      </w:pPr>
      <w:r>
        <w:rPr>
          <w:rFonts w:eastAsia="Arial" w:cs="Arial"/>
        </w:rPr>
        <w:t>Calcular IRC = (Re / (Ri × C)) × 10, Re/Ri y PSSG/peso = (MLG − ACT) / peso.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jc w:val="both"/>
        <w:rPr/>
      </w:pPr>
      <w:r>
        <w:rPr>
          <w:rFonts w:eastAsia="Arial" w:cs="Arial"/>
        </w:rPr>
        <w:t>Si PSSG/peso es menor o igual que 0,05 o mayor o igual que 0,40, no calcular y devolver "revisar".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jc w:val="both"/>
        <w:rPr/>
      </w:pPr>
      <w:r>
        <w:rPr>
          <w:rFonts w:eastAsia="Arial" w:cs="Arial"/>
        </w:rPr>
        <w:t>Estandarizar cada componente con la media y la DE de su sexo (tabla 2).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jc w:val="both"/>
        <w:rPr/>
      </w:pPr>
      <w:r>
        <w:rPr>
          <w:rFonts w:eastAsia="Arial" w:cs="Arial"/>
        </w:rPr>
        <w:t>Calcular el núcleo S con los pesos de su sexo.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jc w:val="both"/>
        <w:rPr/>
      </w:pPr>
      <w:r>
        <w:rPr>
          <w:rFonts w:eastAsia="Arial" w:cs="Arial"/>
        </w:rPr>
        <w:t>Calcular el S esperado = b0 + b</w:t>
      </w:r>
      <w:r>
        <w:rPr>
          <w:rFonts w:eastAsia="Arial" w:cs="Arial"/>
          <w:i/>
          <w:iCs/>
        </w:rPr>
        <w:t>edad × edad + b</w:t>
      </w:r>
      <w:r>
        <w:rPr>
          <w:rFonts w:eastAsia="Arial" w:cs="Arial"/>
        </w:rPr>
        <w:t>FMI × FMI.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jc w:val="both"/>
        <w:rPr/>
      </w:pPr>
      <w:r>
        <w:rPr>
          <w:rFonts w:eastAsia="Arial" w:cs="Arial"/>
        </w:rPr>
        <w:t>Calcular z de pares = (S − S esperado) / DE residual.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jc w:val="both"/>
        <w:rPr/>
      </w:pPr>
      <w:r>
        <w:rPr>
          <w:rFonts w:eastAsia="Arial" w:cs="Arial"/>
        </w:rPr>
        <w:t>Calcular IAE = 5 × z de pares, limitado a −15 y +15; EB-BIS = edad + IAE.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jc w:val="both"/>
        <w:rPr/>
      </w:pPr>
      <w:r>
        <w:rPr>
          <w:rFonts w:eastAsia="Arial" w:cs="Arial"/>
        </w:rPr>
        <w:t>Activar la alerta de discordancia si z de pares ≥ 1 e ICEC ≥ 80.</w:t>
      </w:r>
    </w:p>
    <w:p>
      <w:pPr>
        <w:pStyle w:val="Heading2"/>
        <w:keepNext w:val="true"/>
        <w:spacing w:before="200" w:after="100"/>
        <w:rPr/>
      </w:pPr>
      <w:bookmarkStart w:id="5" w:name="__RefHeading___Toc1022_3479964373"/>
      <w:bookmarkEnd w:id="5"/>
      <w:r>
        <w:rPr>
          <w:rFonts w:eastAsia="Arial" w:cs="Arial"/>
        </w:rPr>
        <w:t>3.3 Parámetros (versión 7.0.0)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625"/>
        <w:gridCol w:w="2701"/>
        <w:gridCol w:w="2700"/>
      </w:tblGrid>
      <w:tr>
        <w:trPr>
          <w:tblHeader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Mujeres (F)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Hombres (M)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Media / DE de IRC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2,6054 / 0,7025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1,9520 / 0,5421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Media / DE de Re/Ri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0,3600 / 0,0630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0,4186 / 0,0811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Media / DE de PSSG/peso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0,2020 / 0,0206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0,2204 / 0,0230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Peso de z(IRC)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+0,435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+3,825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Peso de z(Re/Ri)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−</w:t>
            </w:r>
            <w:r>
              <w:rPr>
                <w:rFonts w:eastAsia="Arial" w:cs="Arial"/>
                <w:sz w:val="18"/>
                <w:szCs w:val="18"/>
              </w:rPr>
              <w:t>1,268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−</w:t>
            </w:r>
            <w:r>
              <w:rPr>
                <w:rFonts w:eastAsia="Arial" w:cs="Arial"/>
                <w:sz w:val="18"/>
                <w:szCs w:val="18"/>
              </w:rPr>
              <w:t>5,057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Peso de z(PSSG/peso)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−</w:t>
            </w:r>
            <w:r>
              <w:rPr>
                <w:rFonts w:eastAsia="Arial" w:cs="Arial"/>
                <w:sz w:val="18"/>
                <w:szCs w:val="18"/>
              </w:rPr>
              <w:t>4,090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−</w:t>
            </w:r>
            <w:r>
              <w:rPr>
                <w:rFonts w:eastAsia="Arial" w:cs="Arial"/>
                <w:sz w:val="18"/>
                <w:szCs w:val="18"/>
              </w:rPr>
              <w:t>3,930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b0 del S esperado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−</w:t>
            </w:r>
            <w:r>
              <w:rPr>
                <w:rFonts w:eastAsia="Arial" w:cs="Arial"/>
                <w:sz w:val="18"/>
                <w:szCs w:val="18"/>
              </w:rPr>
              <w:t>8,539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−</w:t>
            </w:r>
            <w:r>
              <w:rPr>
                <w:rFonts w:eastAsia="Arial" w:cs="Arial"/>
                <w:sz w:val="18"/>
                <w:szCs w:val="18"/>
              </w:rPr>
              <w:t>12,254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b_edad del S esperado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0,1025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0,2015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b_FMI del S esperado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0,6364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0,6977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DE residual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3,75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5,91</w:t>
            </w:r>
          </w:p>
        </w:tc>
      </w:tr>
      <w:tr>
        <w:trPr>
          <w:cantSplit w:val="true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8"/>
                <w:szCs w:val="18"/>
              </w:rPr>
              <w:t>Años por DE / tope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5 / ±15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5 / ±15</w:t>
            </w:r>
          </w:p>
        </w:tc>
      </w:tr>
    </w:tbl>
    <w:p>
      <w:pPr>
        <w:pStyle w:val="Normal"/>
        <w:spacing w:before="60" w:after="160"/>
        <w:jc w:val="left"/>
        <w:rPr/>
      </w:pPr>
      <w:r>
        <w:rPr>
          <w:rFonts w:eastAsia="Arial" w:cs="Arial"/>
          <w:i/>
          <w:iCs/>
          <w:color w:val="444444"/>
          <w:sz w:val="18"/>
          <w:szCs w:val="18"/>
        </w:rPr>
        <w:t>Tabla 2. Parámetros del motor. Deben guardarse en configuración versionada, no escritos dentro de la lógica de pantalla.</w:t>
      </w:r>
    </w:p>
    <w:p>
      <w:pPr>
        <w:pStyle w:val="Heading2"/>
        <w:keepNext w:val="true"/>
        <w:spacing w:before="200" w:after="100"/>
        <w:rPr/>
      </w:pPr>
      <w:bookmarkStart w:id="6" w:name="__RefHeading___Toc1024_3479964373"/>
      <w:bookmarkEnd w:id="6"/>
      <w:r>
        <w:rPr>
          <w:rFonts w:eastAsia="Arial" w:cs="Arial"/>
        </w:rPr>
        <w:t>3.4 Función de referencia (ebBisV7.js)</w:t>
      </w:r>
    </w:p>
    <w:p>
      <w:pPr>
        <w:pStyle w:val="Normal"/>
        <w:spacing w:lineRule="exact" w:line="276" w:before="0" w:after="120"/>
        <w:jc w:val="both"/>
        <w:rPr/>
      </w:pPr>
      <w:r>
        <w:rPr>
          <w:rFonts w:eastAsia="Arial" w:cs="Arial"/>
        </w:rPr>
        <w:t>La función adjunta implementa exactamente la especificación y reproduce los siete casos de prueba de la sección 6. Puede integrarse tal cual al motor.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// EB-BIS v7 · Sistema ANI BIS-E · © Gildardo de Jesús Uribe Gil, 2026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// Parámetros derivados de BD_UNICA_BXZMIII (n = 6.001; Ridge por sexo). Versión de parámetros: 7.0.0 (2026-10-24)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const EB_BIS_V7 = {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version: '7.0.0',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escalaAniosPorDE: 5,      // provisional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topeAnios: 15,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F: { mu: { IRC: 2.6054, ReRi: 0.3600, PSSGp: 0.2020 }, de: { IRC: 0.7025, ReRi: 0.0630, PSSGp: 0.0206 },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</w:t>
      </w:r>
      <w:r>
        <w:rPr>
          <w:rFonts w:eastAsia="Consolas" w:cs="Consolas" w:ascii="Consolas" w:hAnsi="Consolas"/>
          <w:sz w:val="16"/>
          <w:szCs w:val="16"/>
        </w:rPr>
        <w:t>w: { IRC: 0.435, ReRi: -1.268, PSSGp: -4.090 },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</w:t>
      </w:r>
      <w:r>
        <w:rPr>
          <w:rFonts w:eastAsia="Consolas" w:cs="Consolas" w:ascii="Consolas" w:hAnsi="Consolas"/>
          <w:sz w:val="16"/>
          <w:szCs w:val="16"/>
        </w:rPr>
        <w:t>esperado: { b0: -8.539, edad: 0.1025, FMI: 0.6364 }, deResidual: 3.75 },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M: { mu: { IRC: 1.9520, ReRi: 0.4186, PSSGp: 0.2204 }, de: { IRC: 0.5421, ReRi: 0.0811, PSSGp: 0.0230 },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</w:t>
      </w:r>
      <w:r>
        <w:rPr>
          <w:rFonts w:eastAsia="Consolas" w:cs="Consolas" w:ascii="Consolas" w:hAnsi="Consolas"/>
          <w:sz w:val="16"/>
          <w:szCs w:val="16"/>
        </w:rPr>
        <w:t>w: { IRC: 3.825, ReRi: -5.057, PSSGp: -3.930 },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</w:t>
      </w:r>
      <w:r>
        <w:rPr>
          <w:rFonts w:eastAsia="Consolas" w:cs="Consolas" w:ascii="Consolas" w:hAnsi="Consolas"/>
          <w:sz w:val="16"/>
          <w:szCs w:val="16"/>
        </w:rPr>
        <w:t>esperado: { b0: -12.254, edad: 0.2015, FMI: 0.6977 }, deResidual: 5.91 }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function ebBisV7({ sexo, edad, Re, Ri, C, peso, MLG, ACT, FMI, ICEC = null }) {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p = EB_BIS_V7[sexo];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if (!p) return { estado: 'error', motivo: 'sexo no válido' };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if (!Number.isInteger(edad) || edad &lt; 16 || edad &gt; 100) return { estado: 'pendiente', motivo: 'edad no válida' };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for (const [k, v] of Object.entries({ Re, Ri, C, peso, MLG, ACT, FMI }))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if (!(typeof v === 'number' &amp;&amp; isFinite(v) &amp;&amp; v &gt; 0)) return { estado: 'pendiente', motivo: `dato faltante o inválido: ${k}` };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IRC = (Re / (Ri * C)) * 10;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ReRi = Re / Ri;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PSSG = MLG - ACT;                 // masa seca sin grasa (kg)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PSSGp = PSSG / peso;              // por kg de peso corporal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if (PSSGp &lt;= 0.05 || PSSGp &gt;= 0.40) return { estado: 'revisar', motivo: 'masa seca sin grasa fuera de rango fisiológico' };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z = {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IRC: (IRC - p.mu.IRC) / p.de.IRC,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ReRi: (ReRi - p.mu.ReRi) / p.de.ReRi,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PSSGp: (PSSGp - p.mu.PSSGp) / p.de.PSSGp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};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S = p.w.IRC * z.IRC + p.w.ReRi * z.ReRi + p.w.PSSGp * z.PSSGp;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Sesp = p.esperado.b0 + p.esperado.edad * edad + p.esperado.FMI * FMI;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zPares = (S - Sesp) / p.deResidual;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T = EB_BIS_V7.topeAnios;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IAE = Math.max(-T, Math.min(T, EB_BIS_V7.escalaAniosPorDE * zPares));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EB = edad + IAE;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const alertaDiscordancia = ICEC !== null &amp;&amp; zPares &gt;= 1 &amp;&amp; ICEC &gt;= 80;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return {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estado: 'ok', version: 'EB-BIS v7', versionParametros: EB_BIS_V7.version,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EB_BIS: Math.round(EB * 10) / 10, IAE: Math.round(IAE * 10) / 10, zPares: Math.round(zPares * 100) / 100,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topado: Math.abs(EB_BIS_V7.escalaAniosPorDE * zPares) &gt; T,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alertaDiscordancia,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intermedios: { IRC, ReRi, PSSG, PSSGp, z, S, Sesp }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};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4F4F4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module.exports = { ebBisV7, EB_BIS_V7 };</w:t>
      </w:r>
    </w:p>
    <w:p>
      <w:pPr>
        <w:pStyle w:val="Heading1"/>
        <w:keepNext w:val="true"/>
        <w:spacing w:before="280" w:after="140"/>
        <w:rPr/>
      </w:pPr>
      <w:bookmarkStart w:id="7" w:name="__RefHeading___Toc1026_3479964373"/>
      <w:bookmarkEnd w:id="7"/>
      <w:r>
        <w:rPr>
          <w:rFonts w:eastAsia="Arial" w:cs="Arial"/>
        </w:rPr>
        <w:t>4. Salidas y presentación en pantalla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99"/>
        <w:gridCol w:w="1500"/>
        <w:gridCol w:w="1701"/>
        <w:gridCol w:w="4125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Salida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Formato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Quién la ve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Texto o regla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EB-BIS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1 decimal, años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Profesional y paciente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"Edad biológica estimada: 73,5 años"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IAE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1 decimal con signo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Profesional y paciente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"+9,5 años: envejecimiento acelerado estimado" si IAE ≥ +5,0; "acorde con sus pares" entre −5,0 y +5,0; "desacelerado estimado" si IAE ≤ −5,0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z de pares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2 decimales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Solo profesional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Dato de soporte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Tope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Indicador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Solo profesional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Si el valor fue limitado a ±15, mostrar "valor limitado al máximo del indicador"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Alerta de discordancia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Indicador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Solo profesional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"Deterioro celular mayor que el esperado con hábitos reportados favorables: verificar hábitos o cambio reciente"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ICEC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Se mantiene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Según módulo actual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Sigue en el dominio contextual del DFI y en la Ruta 5; no altera la EB-BIS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Estado no calculable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Texto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Profesional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7"/>
                <w:szCs w:val="17"/>
              </w:rPr>
              <w:t>"EB-BIS pendiente: " más el motivo devuelto por la función</w:t>
            </w:r>
          </w:p>
        </w:tc>
      </w:tr>
    </w:tbl>
    <w:p>
      <w:pPr>
        <w:pStyle w:val="Normal"/>
        <w:spacing w:before="60" w:after="160"/>
        <w:jc w:val="left"/>
        <w:rPr/>
      </w:pPr>
      <w:r>
        <w:rPr>
          <w:rFonts w:eastAsia="Arial" w:cs="Arial"/>
          <w:i/>
          <w:iCs/>
          <w:color w:val="444444"/>
          <w:sz w:val="18"/>
          <w:szCs w:val="18"/>
        </w:rPr>
        <w:t>Tabla 3. Reglas de presentación. Toda salida se presenta como estimación, nunca como diagnóstico.</w:t>
      </w:r>
    </w:p>
    <w:p>
      <w:pPr>
        <w:pStyle w:val="Heading1"/>
        <w:keepNext w:val="true"/>
        <w:spacing w:before="280" w:after="140"/>
        <w:rPr/>
      </w:pPr>
      <w:bookmarkStart w:id="8" w:name="__RefHeading___Toc1028_3479964373"/>
      <w:bookmarkEnd w:id="8"/>
      <w:r>
        <w:rPr>
          <w:rFonts w:eastAsia="Arial" w:cs="Arial"/>
        </w:rPr>
        <w:t>5. Versionado y migración</w:t>
      </w:r>
    </w:p>
    <w:p>
      <w:pPr>
        <w:pStyle w:val="ListParagraph"/>
        <w:numPr>
          <w:ilvl w:val="0"/>
          <w:numId w:val="7"/>
        </w:numPr>
        <w:spacing w:lineRule="exact" w:line="276" w:before="0" w:after="80"/>
        <w:jc w:val="both"/>
        <w:rPr/>
      </w:pPr>
      <w:r>
        <w:rPr>
          <w:rFonts w:eastAsia="Arial" w:cs="Arial"/>
        </w:rPr>
        <w:t>Guardar con cada resultado los campos version</w:t>
      </w:r>
      <w:r>
        <w:rPr>
          <w:rFonts w:eastAsia="Arial" w:cs="Arial"/>
          <w:i/>
          <w:iCs/>
        </w:rPr>
        <w:t>motor = "EB-BIS v7" y version</w:t>
      </w:r>
      <w:r>
        <w:rPr>
          <w:rFonts w:eastAsia="Arial" w:cs="Arial"/>
        </w:rPr>
        <w:t>parametros = "7.0.0".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both"/>
        <w:rPr/>
      </w:pPr>
      <w:r>
        <w:rPr>
          <w:rFonts w:eastAsia="Arial" w:cs="Arial"/>
        </w:rPr>
        <w:t>Conservar los valores v5 ya calculados en un campo histórico, sin mostrarlos en pantalla ni en informes.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both"/>
        <w:rPr/>
      </w:pPr>
      <w:r>
        <w:rPr>
          <w:rFonts w:eastAsia="Arial" w:cs="Arial"/>
        </w:rPr>
        <w:t>Recalcular con la v7 todas las evaluaciones guardadas después de corregir los errores 1 a 6.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both"/>
        <w:rPr/>
      </w:pPr>
      <w:r>
        <w:rPr>
          <w:rFonts w:eastAsia="Arial" w:cs="Arial"/>
        </w:rPr>
        <w:t>Los informes ya entregados a pacientes no se modifican; los nuevos informes se emiten con la v7.</w:t>
      </w:r>
    </w:p>
    <w:p>
      <w:pPr>
        <w:pStyle w:val="Heading1"/>
        <w:keepNext w:val="true"/>
        <w:spacing w:before="280" w:after="140"/>
        <w:rPr/>
      </w:pPr>
      <w:bookmarkStart w:id="9" w:name="__RefHeading___Toc1030_3479964373"/>
      <w:bookmarkEnd w:id="9"/>
      <w:r>
        <w:rPr>
          <w:rFonts w:eastAsia="Arial" w:cs="Arial"/>
        </w:rPr>
        <w:t>6. Pruebas de aceptación</w:t>
      </w:r>
    </w:p>
    <w:p>
      <w:pPr>
        <w:pStyle w:val="Normal"/>
        <w:spacing w:lineRule="exact" w:line="276" w:before="0" w:after="120"/>
        <w:jc w:val="both"/>
        <w:rPr/>
      </w:pPr>
      <w:r>
        <w:rPr>
          <w:rFonts w:eastAsia="Arial" w:cs="Arial"/>
        </w:rPr>
        <w:t>El motor implementado debe reproducir estos resultados con una tolerancia de ±0,1 años en EB-BIS e IAE y la misma alerta. Los datos provienen de evaluaciones reales de ATLAS (archivo casos.json).</w:t>
      </w:r>
    </w:p>
    <w:tbl>
      <w:tblPr>
        <w:tblW w:w="8726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79"/>
        <w:gridCol w:w="500"/>
        <w:gridCol w:w="500"/>
        <w:gridCol w:w="620"/>
        <w:gridCol w:w="700"/>
        <w:gridCol w:w="500"/>
        <w:gridCol w:w="561"/>
        <w:gridCol w:w="699"/>
        <w:gridCol w:w="700"/>
        <w:gridCol w:w="641"/>
        <w:gridCol w:w="520"/>
        <w:gridCol w:w="700"/>
        <w:gridCol w:w="639"/>
        <w:gridCol w:w="566"/>
      </w:tblGrid>
      <w:tr>
        <w:trPr>
          <w:tblHeader w:val="true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Código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Sexo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Edad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Re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Ri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C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Peso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MLG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ACT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FMI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ICEC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EB-BIS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IAE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Alerta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5"/>
                <w:szCs w:val="15"/>
              </w:rPr>
              <w:t>ed83ff97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F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64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680,5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2485,3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1,01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50,1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34,108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26,117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7,998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79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73,5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+9,5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No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5"/>
                <w:szCs w:val="15"/>
              </w:rPr>
              <w:t>bb9ec59d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F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25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639,0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2914,5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0,88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60,8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41,150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31,264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7,773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40,0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+15,0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No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5"/>
                <w:szCs w:val="15"/>
              </w:rPr>
              <w:t>7ce51226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F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600,1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1744,8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2,16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95,0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52,766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36,825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17,134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75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42,6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-0,4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No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5"/>
                <w:szCs w:val="15"/>
              </w:rPr>
              <w:t>415e267e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M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28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605,3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1063,7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3,99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88,0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65,202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46,451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7,706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86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19,0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-9,0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No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5"/>
                <w:szCs w:val="15"/>
              </w:rPr>
              <w:t>89f75aee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M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557,0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1446,8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1,94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70,0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48,768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36,039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8,398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82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63,6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+2,6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No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5"/>
                <w:szCs w:val="15"/>
              </w:rPr>
              <w:t>d634c82a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M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640,4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1106,4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3,25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83,0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60,367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42,579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8,115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80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31,0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-10,0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No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5"/>
                <w:szCs w:val="15"/>
              </w:rPr>
              <w:t>6d3c9169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F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37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759,5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2900,3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0,75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68,0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41,899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29,492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10,324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82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43,1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+6,1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sz w:val="15"/>
                <w:szCs w:val="15"/>
              </w:rPr>
              <w:t>Sí</w:t>
            </w:r>
          </w:p>
        </w:tc>
      </w:tr>
    </w:tbl>
    <w:p>
      <w:pPr>
        <w:pStyle w:val="Normal"/>
        <w:spacing w:before="60" w:after="160"/>
        <w:jc w:val="left"/>
        <w:rPr/>
      </w:pPr>
      <w:r>
        <w:rPr>
          <w:rFonts w:eastAsia="Arial" w:cs="Arial"/>
          <w:i/>
          <w:iCs/>
          <w:color w:val="444444"/>
          <w:sz w:val="18"/>
          <w:szCs w:val="18"/>
        </w:rPr>
        <w:t>Tabla 4. Casos de prueba. El caso de 25 años verifica el tope de +15; el de 37 años, la alerta de discordancia.</w:t>
      </w:r>
    </w:p>
    <w:p>
      <w:pPr>
        <w:pStyle w:val="Normal"/>
        <w:spacing w:lineRule="exact" w:line="276" w:before="0" w:after="120"/>
        <w:jc w:val="both"/>
        <w:rPr/>
      </w:pPr>
      <w:r>
        <w:rPr>
          <w:rFonts w:eastAsia="Arial" w:cs="Arial"/>
        </w:rPr>
        <w:t>Pruebas adicionales de validación: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both"/>
        <w:rPr/>
      </w:pPr>
      <w:r>
        <w:rPr>
          <w:rFonts w:eastAsia="Arial" w:cs="Arial"/>
        </w:rPr>
        <w:t>Edad 15 o vacía: devuelve "pendiente: edad no válida".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both"/>
        <w:rPr/>
      </w:pPr>
      <w:r>
        <w:rPr>
          <w:rFonts w:eastAsia="Arial" w:cs="Arial"/>
        </w:rPr>
        <w:t>Cualquier entrada faltante o igual a 0: devuelve "pendiente" con el nombre del dato.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both"/>
        <w:rPr/>
      </w:pPr>
      <w:r>
        <w:rPr>
          <w:rFonts w:eastAsia="Arial" w:cs="Arial"/>
        </w:rPr>
        <w:t>PSSG/peso fuera de 0,05 a 0,40: devuelve "revisar".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both"/>
        <w:rPr/>
      </w:pPr>
      <w:r>
        <w:rPr>
          <w:rFonts w:eastAsia="Arial" w:cs="Arial"/>
        </w:rPr>
        <w:t>ICEC ausente: calcula la EB-BIS y no activa la alerta.</w:t>
      </w:r>
    </w:p>
    <w:p>
      <w:pPr>
        <w:pStyle w:val="Heading1"/>
        <w:keepNext w:val="true"/>
        <w:spacing w:before="280" w:after="140"/>
        <w:rPr/>
      </w:pPr>
      <w:bookmarkStart w:id="10" w:name="__RefHeading___Toc1032_3479964373"/>
      <w:bookmarkEnd w:id="10"/>
      <w:r>
        <w:rPr>
          <w:rFonts w:eastAsia="Arial" w:cs="Arial"/>
        </w:rPr>
        <w:t>Anexo A. Códigos de las evaluaciones con errores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99"/>
        <w:gridCol w:w="8126"/>
      </w:tblGrid>
      <w:tr>
        <w:trPr>
          <w:tblHeader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Error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2D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Evaluaciones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1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4118e694-15eb-41cd-b8d4-dbd8c530cbe6 (43 años) y 36aba016-c771-4215-8640-71351042e8bb (46 años), 28 sep.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1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b3e367cc-de09-46dc-ae78-8aa560780965 (9 años) y 6256b921-3dff-4e80-aa3b-e9052a71c458 (22 años), 13 jul.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1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fb29a4e8-f31f-451f-8ab2-07c50c8edcd9 (38 años) y 6b82f54e-c52e-4a99-ae19-e1856adbb06b (30 años), 5 oct.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1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8ddc1244-e57c-4b91-8979-0eeb22b9a387 (58 años) y baf15441-6e1b-4621-99a7-c825349b7ef8 (sin edad), 16 sep.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2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Seguimientos: d8a9076a-c528-47c2-a639-f985db45395b · b4a9ea2a-6e58-4dc4-bf41-3c6b54797985 · 233f7a5d-e738-47c0-b6f1-048d9b1f550f · 24bb7e23-f119-458e-b586-0fd8ef9750ca · 80d168dd-07aa-425a-8589-39138de86882 · 7f31029c-1b5b-425d-a5c6-92e7d5b243ab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3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d87b5069-3af2-4a59-b27b-1fa6e31d54a5 · fdbb432b-a2c8-412c-95d2-c58df5e27820 · 69674f6a-3873-4058-8ce5-8b6274257f69 · d1c6c75e-03a7-470b-b3ad-9f9dd6d69c71 · 5fe3799a-b714-4a78-8b8b-f3c63055e15b · 24c54082-e4ee-46af-a5b7-b1603c26e1d6 · 5ac66cb3-1847-4025-a478-d3aa7e1fb873 · c10fe422-5d41-45e1-8292-d2340497d363 · f36fe949-c85f-4693-b295-5fb3400920ca · 2158b0ca-6905-4db3-b1fa-3fb582c38477 · f171e7bf-acd2-4749-8926-854ea612c0d5 · fe9c4b07-f31f-4270-9999-1861ea9478f4 · 3b82a9ff-1b49-4bcc-a122-ff51f6e2e65c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4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a2ce960c-6da4-4b76-b907-82698bf4fb01 (46 años, motor 0) · be1a0288-3679-4c31-bc85-8ab4323046e7 (49 años, motor 0) · bcf91875-2066-40cc-a582-8f6710134bbf (51 años, motor 231)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5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2F7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dbf1287e-5f2e-41ac-a0d8-cc248aecf2b1 (ATLAS 23, equipo 14) · 0300d807-d50c-462b-b3de-a3c7de983e1d (34 y 43) · e3599e84-dfed-4c18-a7c5-ecf2bab317af (39 y 42) · fcb28c48-d2ec-4009-b7d3-fc60d439fdb7 (52 y 72) · 050c7f5b-0ec4-485b-8039-ab4c08dc5661 (54 y 35) · 15149709-0a05-4241-b218-e361bc5cc446 (58 y 67)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7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sz w:val="16"/>
                <w:szCs w:val="16"/>
              </w:rPr>
              <w:t>121224cd-7ccb-44e6-a1e2-6353de0d786c (13 años) · 4c30e740-3a96-4e79-8a61-9329c978bfd0 (13 años) · 33e13c69-5b13-45ce-8671-1722a8a2344d (15 años)</w:t>
            </w:r>
          </w:p>
        </w:tc>
      </w:tr>
    </w:tbl>
    <w:p>
      <w:pPr>
        <w:pStyle w:val="Normal"/>
        <w:spacing w:before="60" w:after="160"/>
        <w:jc w:val="left"/>
        <w:rPr/>
      </w:pPr>
      <w:r>
        <w:rPr>
          <w:rFonts w:eastAsia="Arial" w:cs="Arial"/>
          <w:i/>
          <w:iCs/>
          <w:color w:val="444444"/>
          <w:sz w:val="18"/>
          <w:szCs w:val="18"/>
        </w:rPr>
        <w:t>Tabla A1. Los casos del error 6 (redondeo de edad) y la lista completa están en el archivo EBBIScohorteATLASseparada.xlsx.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30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66666"/>
        <w:sz w:val="16"/>
        <w:szCs w:val="16"/>
      </w:rPr>
      <w:t xml:space="preserve">© 2026 Gildardo de Jesús Uribe Gil · Constructo protegido del sistema ANI BIS-E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666666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9A961"/>
      </w:pBdr>
      <w:jc w:val="right"/>
      <w:rPr/>
    </w:pPr>
    <w:r>
      <w:rPr>
        <w:rFonts w:eastAsia="Arial" w:cs="Arial"/>
        <w:color w:val="0F2D52"/>
        <w:sz w:val="16"/>
        <w:szCs w:val="16"/>
      </w:rPr>
      <w:t>ATLAS CNV · Especificación de implementación EB-BIS v7 · 24 de octubre de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·"/>
      <w:lvlJc w:val="left"/>
      <w:pPr>
        <w:tabs>
          <w:tab w:val="num" w:pos="0"/>
        </w:tabs>
        <w:ind w:left="540" w:hanging="270"/>
      </w:pPr>
      <w:rPr>
        <w:rFonts w:ascii="OpenSymbol" w:hAnsi="OpenSymbol" w:cs="OpenSymbol" w:hint="default"/>
        <w:b/>
        <w:bCs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080" w:hanging="27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hAnsi="Arial" w:eastAsia="Arial" w:cs="Arial"/>
      <w:b/>
      <w:bCs/>
      <w:color w:val="0F2D5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hAnsi="Arial" w:eastAsia="Arial" w:cs="Arial"/>
      <w:b/>
      <w:bCs/>
      <w:color w:val="0E8C7F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2026-10-24T14:09:11Z</dcterms:created>
  <dc:creator>Gildardo de Jesús Uribe Gil</dc:creator>
  <dc:description/>
  <dc:language>en-US</dc:language>
  <cp:lastModifiedBy/>
  <dcterms:modified xsi:type="dcterms:W3CDTF">2026-10-24T09:09:13Z</dcterms:modified>
  <cp:revision>2</cp:revision>
  <dc:subject/>
  <dc:title>ATLAS CNV · Especificación de implementación EB-BIS v7 · 24 de octubre de 2026</dc:title>
</cp:coreProperties>
</file>