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D12BA" w14:textId="45B5086E" w:rsidR="00861032" w:rsidRDefault="00A22326" w:rsidP="007543A7">
      <w:pPr>
        <w:spacing w:line="276" w:lineRule="auto"/>
        <w:rPr>
          <w:rFonts w:ascii="Arial" w:hAnsi="Arial" w:cs="Arial"/>
          <w:b/>
          <w:bCs/>
        </w:rPr>
      </w:pPr>
      <w:r w:rsidRPr="0028205D">
        <w:rPr>
          <w:rFonts w:ascii="Arial" w:hAnsi="Arial" w:cs="Arial"/>
          <w:b/>
          <w:bCs/>
        </w:rPr>
        <w:t>Assessing the Homogeneity of Dose Delivered to Blood During Sweeping Cobalt-60 Total Body Irradiation</w:t>
      </w:r>
    </w:p>
    <w:p w14:paraId="540C98A5" w14:textId="7C117F03" w:rsidR="0028205D" w:rsidRPr="0028205D" w:rsidRDefault="0028205D" w:rsidP="007543A7">
      <w:pPr>
        <w:spacing w:line="276" w:lineRule="auto"/>
        <w:rPr>
          <w:rFonts w:ascii="Arial" w:hAnsi="Arial" w:cs="Arial"/>
        </w:rPr>
      </w:pPr>
      <w:r w:rsidRPr="0028205D">
        <w:rPr>
          <w:rFonts w:ascii="Arial" w:hAnsi="Arial" w:cs="Arial"/>
          <w:u w:val="single"/>
        </w:rPr>
        <w:t>Cassidy Northway,</w:t>
      </w:r>
      <w:r>
        <w:rPr>
          <w:rFonts w:ascii="Arial" w:hAnsi="Arial" w:cs="Arial"/>
        </w:rPr>
        <w:t xml:space="preserve"> I Antoniu Popescu, Parmveer S Atwal, </w:t>
      </w:r>
      <w:r w:rsidR="007543A7" w:rsidRPr="007543A7">
        <w:rPr>
          <w:rFonts w:ascii="Arial" w:hAnsi="Arial" w:cs="Arial"/>
        </w:rPr>
        <w:t>INGRID T SPADINGER</w:t>
      </w:r>
    </w:p>
    <w:p w14:paraId="34780982" w14:textId="77777777" w:rsidR="007543A7" w:rsidRDefault="00861032" w:rsidP="007543A7">
      <w:pPr>
        <w:spacing w:line="276" w:lineRule="auto"/>
        <w:rPr>
          <w:rFonts w:ascii="Arial" w:hAnsi="Arial" w:cs="Arial"/>
        </w:rPr>
      </w:pPr>
      <w:r w:rsidRPr="0028205D">
        <w:rPr>
          <w:rFonts w:ascii="Arial" w:hAnsi="Arial" w:cs="Arial"/>
          <w:b/>
          <w:bCs/>
        </w:rPr>
        <w:t>Purpose:</w:t>
      </w:r>
      <w:r w:rsidR="00A860F9" w:rsidRPr="0028205D">
        <w:rPr>
          <w:rFonts w:ascii="Arial" w:hAnsi="Arial" w:cs="Arial"/>
          <w:b/>
          <w:bCs/>
        </w:rPr>
        <w:t xml:space="preserve">  </w:t>
      </w:r>
      <w:r w:rsidR="00927E20" w:rsidRPr="0028205D">
        <w:rPr>
          <w:rFonts w:ascii="Arial" w:hAnsi="Arial" w:cs="Arial"/>
          <w:b/>
          <w:bCs/>
        </w:rPr>
        <w:t> </w:t>
      </w:r>
      <w:r w:rsidR="00927E20" w:rsidRPr="0028205D">
        <w:rPr>
          <w:rFonts w:ascii="Arial" w:hAnsi="Arial" w:cs="Arial"/>
        </w:rPr>
        <w:t>Total body irradiation (TBI) requires the entirety of the patient's body to be irradiated, and treatment methods vary greatly across treatment centres. For many of these techniques, little is known about the heterogeneity of dose delivered to the circulating blood. To assess the dose delivered to the circulating blood volume during Sweeping Cobalt-60 (Co-60) TBI, a full body blood flow simulation was combined with Monte Carlo generated 4D dose distributions.</w:t>
      </w:r>
    </w:p>
    <w:p w14:paraId="137AB6C2" w14:textId="5EAD041D" w:rsidR="007543A7" w:rsidRPr="0028205D" w:rsidRDefault="00861032" w:rsidP="007543A7">
      <w:pPr>
        <w:spacing w:line="276" w:lineRule="auto"/>
        <w:rPr>
          <w:rFonts w:ascii="Arial" w:hAnsi="Arial" w:cs="Arial"/>
        </w:rPr>
      </w:pPr>
      <w:r w:rsidRPr="0028205D">
        <w:rPr>
          <w:rFonts w:ascii="Arial" w:hAnsi="Arial" w:cs="Arial"/>
          <w:b/>
          <w:bCs/>
        </w:rPr>
        <w:br/>
        <w:t>Methods:</w:t>
      </w:r>
      <w:r w:rsidR="0088085E" w:rsidRPr="0028205D">
        <w:rPr>
          <w:rFonts w:ascii="Arial" w:hAnsi="Arial" w:cs="Arial"/>
          <w:b/>
          <w:bCs/>
        </w:rPr>
        <w:t xml:space="preserve"> </w:t>
      </w:r>
      <w:r w:rsidR="0088085E" w:rsidRPr="0028205D">
        <w:rPr>
          <w:rFonts w:ascii="Arial" w:hAnsi="Arial" w:cs="Arial"/>
        </w:rPr>
        <w:t xml:space="preserve"> </w:t>
      </w:r>
      <w:r w:rsidR="00927E20" w:rsidRPr="0028205D">
        <w:rPr>
          <w:rFonts w:ascii="Arial" w:hAnsi="Arial" w:cs="Arial"/>
        </w:rPr>
        <w:t>A virtual phantom was used to create a Monte Carlo phantom mimicking a Co-60 TBI treatment set-up. Time-resolved Monte Carlo simulations using modified </w:t>
      </w:r>
      <w:proofErr w:type="spellStart"/>
      <w:r w:rsidR="00927E20" w:rsidRPr="0028205D">
        <w:rPr>
          <w:rFonts w:ascii="Arial" w:hAnsi="Arial" w:cs="Arial"/>
        </w:rPr>
        <w:t>DOSXYZnrc</w:t>
      </w:r>
      <w:proofErr w:type="spellEnd"/>
      <w:r w:rsidR="00927E20" w:rsidRPr="0028205D">
        <w:rPr>
          <w:rFonts w:ascii="Arial" w:hAnsi="Arial" w:cs="Arial"/>
        </w:rPr>
        <w:t>, for both supine and prone patient positions, were completed. The virtual phantom also enabled the creation of a blood flow model which </w:t>
      </w:r>
      <w:proofErr w:type="spellStart"/>
      <w:r w:rsidR="00927E20" w:rsidRPr="0028205D">
        <w:rPr>
          <w:rFonts w:ascii="Arial" w:hAnsi="Arial" w:cs="Arial"/>
        </w:rPr>
        <w:t>spatio</w:t>
      </w:r>
      <w:proofErr w:type="spellEnd"/>
      <w:r w:rsidR="00927E20" w:rsidRPr="0028205D">
        <w:rPr>
          <w:rFonts w:ascii="Arial" w:hAnsi="Arial" w:cs="Arial"/>
        </w:rPr>
        <w:t>-temporally tracks blood volumes (BVs) through the phantom. The model is composed of 94 vessel segments and 28 compartments.  BV trajectories were determined using a combination of one-dimensional blood flow modeling, in-vivo data, and </w:t>
      </w:r>
      <w:r w:rsidR="007543A7">
        <w:rPr>
          <w:rFonts w:ascii="Arial" w:hAnsi="Arial" w:cs="Arial"/>
        </w:rPr>
        <w:t>0D compartments</w:t>
      </w:r>
      <w:r w:rsidR="00927E20" w:rsidRPr="0028205D">
        <w:rPr>
          <w:rFonts w:ascii="Arial" w:hAnsi="Arial" w:cs="Arial"/>
        </w:rPr>
        <w:t>. The 4D dose distributions were sampled as the BVs moved through the flow model. For a 12 Gy prescription, in 6 fractions with two patient positions (supine and prone) each and 15 sweeps per position per fraction, the dose to the circulating blood was determined for a single fraction and the entire treatment. </w:t>
      </w:r>
    </w:p>
    <w:p w14:paraId="5D18D95E" w14:textId="53A70A9E" w:rsidR="007543A7" w:rsidRPr="0028205D" w:rsidRDefault="00861032" w:rsidP="007543A7">
      <w:pPr>
        <w:spacing w:line="276" w:lineRule="auto"/>
        <w:rPr>
          <w:rFonts w:ascii="Arial" w:hAnsi="Arial" w:cs="Arial"/>
        </w:rPr>
      </w:pPr>
      <w:r w:rsidRPr="0028205D">
        <w:rPr>
          <w:rFonts w:ascii="Arial" w:hAnsi="Arial" w:cs="Arial"/>
          <w:b/>
          <w:bCs/>
        </w:rPr>
        <w:t>Results</w:t>
      </w:r>
      <w:r w:rsidR="007C57F6" w:rsidRPr="0028205D">
        <w:rPr>
          <w:rFonts w:ascii="Arial" w:hAnsi="Arial" w:cs="Arial"/>
          <w:b/>
          <w:bCs/>
        </w:rPr>
        <w:t>:</w:t>
      </w:r>
      <w:r w:rsidR="007C57F6" w:rsidRPr="0028205D">
        <w:rPr>
          <w:rFonts w:ascii="Arial" w:hAnsi="Arial" w:cs="Arial"/>
        </w:rPr>
        <w:t xml:space="preserve"> </w:t>
      </w:r>
      <w:r w:rsidR="00927E20" w:rsidRPr="0028205D">
        <w:rPr>
          <w:rFonts w:ascii="Arial" w:hAnsi="Arial" w:cs="Arial"/>
        </w:rPr>
        <w:t>The circulating blood received 1.25 ± 0.98 Gy in one fraction and 10.76 ± 2.36 Gy after all fractions.</w:t>
      </w:r>
    </w:p>
    <w:p w14:paraId="719923FD" w14:textId="617043AA" w:rsidR="0077575B" w:rsidRPr="0028205D" w:rsidRDefault="00861032" w:rsidP="007543A7">
      <w:pPr>
        <w:spacing w:line="276" w:lineRule="auto"/>
        <w:rPr>
          <w:rFonts w:ascii="Arial" w:hAnsi="Arial" w:cs="Arial"/>
        </w:rPr>
      </w:pPr>
      <w:r w:rsidRPr="0028205D">
        <w:rPr>
          <w:rFonts w:ascii="Arial" w:hAnsi="Arial" w:cs="Arial"/>
          <w:b/>
          <w:bCs/>
        </w:rPr>
        <w:t>Conclusion:</w:t>
      </w:r>
      <w:r w:rsidR="00DB4D8B" w:rsidRPr="0028205D">
        <w:rPr>
          <w:rFonts w:ascii="Arial" w:hAnsi="Arial" w:cs="Arial"/>
          <w:b/>
          <w:bCs/>
        </w:rPr>
        <w:t xml:space="preserve"> </w:t>
      </w:r>
      <w:r w:rsidR="00927E20" w:rsidRPr="0028205D">
        <w:rPr>
          <w:rFonts w:ascii="Arial" w:hAnsi="Arial" w:cs="Arial"/>
        </w:rPr>
        <w:t>A whole-body blood flow model was paired with 4D dose distributions to assess the heterogeneity of the dose to the circulating blood achieved by sweeping beam Co-60 TBI. </w:t>
      </w:r>
    </w:p>
    <w:p w14:paraId="64D90FE3" w14:textId="77777777" w:rsidR="0077575B" w:rsidRDefault="0077575B" w:rsidP="0077575B"/>
    <w:p w14:paraId="25D294AD" w14:textId="00457F4D" w:rsidR="0011069C" w:rsidRDefault="0011069C" w:rsidP="0077575B"/>
    <w:p w14:paraId="5D53BBFA" w14:textId="77777777" w:rsidR="00223E0A" w:rsidRDefault="00223E0A" w:rsidP="0077575B"/>
    <w:p w14:paraId="1524D983" w14:textId="77777777" w:rsidR="00223E0A" w:rsidRDefault="00223E0A" w:rsidP="0077575B"/>
    <w:p w14:paraId="45016C8E" w14:textId="77777777" w:rsidR="00223E0A" w:rsidRPr="0011069C" w:rsidRDefault="00223E0A" w:rsidP="0077575B"/>
    <w:sectPr w:rsidR="00223E0A" w:rsidRPr="0011069C" w:rsidSect="002820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D2F01"/>
    <w:multiLevelType w:val="multilevel"/>
    <w:tmpl w:val="D9F6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C3237E"/>
    <w:multiLevelType w:val="multilevel"/>
    <w:tmpl w:val="8A9C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095783"/>
    <w:multiLevelType w:val="multilevel"/>
    <w:tmpl w:val="047C5D5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213651F"/>
    <w:multiLevelType w:val="multilevel"/>
    <w:tmpl w:val="6562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A25FA7"/>
    <w:multiLevelType w:val="multilevel"/>
    <w:tmpl w:val="A248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B95936"/>
    <w:multiLevelType w:val="multilevel"/>
    <w:tmpl w:val="666CA5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F96AD5"/>
    <w:multiLevelType w:val="multilevel"/>
    <w:tmpl w:val="595A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58196C"/>
    <w:multiLevelType w:val="multilevel"/>
    <w:tmpl w:val="ECCC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8D0D83"/>
    <w:multiLevelType w:val="multilevel"/>
    <w:tmpl w:val="F7B0A8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8097300">
    <w:abstractNumId w:val="2"/>
  </w:num>
  <w:num w:numId="2" w16cid:durableId="726611356">
    <w:abstractNumId w:val="6"/>
  </w:num>
  <w:num w:numId="3" w16cid:durableId="1546913951">
    <w:abstractNumId w:val="8"/>
  </w:num>
  <w:num w:numId="4" w16cid:durableId="693456698">
    <w:abstractNumId w:val="1"/>
  </w:num>
  <w:num w:numId="5" w16cid:durableId="2115637903">
    <w:abstractNumId w:val="4"/>
  </w:num>
  <w:num w:numId="6" w16cid:durableId="1548302047">
    <w:abstractNumId w:val="3"/>
  </w:num>
  <w:num w:numId="7" w16cid:durableId="1083912026">
    <w:abstractNumId w:val="5"/>
  </w:num>
  <w:num w:numId="8" w16cid:durableId="2007857457">
    <w:abstractNumId w:val="7"/>
  </w:num>
  <w:num w:numId="9" w16cid:durableId="1319846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3AB"/>
    <w:rsid w:val="00044151"/>
    <w:rsid w:val="00045E54"/>
    <w:rsid w:val="00065011"/>
    <w:rsid w:val="000C7E37"/>
    <w:rsid w:val="0011069C"/>
    <w:rsid w:val="001366DE"/>
    <w:rsid w:val="00223E0A"/>
    <w:rsid w:val="0025744C"/>
    <w:rsid w:val="00263B2D"/>
    <w:rsid w:val="0028205D"/>
    <w:rsid w:val="002833CF"/>
    <w:rsid w:val="002D32D4"/>
    <w:rsid w:val="003400EA"/>
    <w:rsid w:val="003C6EAB"/>
    <w:rsid w:val="0042031E"/>
    <w:rsid w:val="00454566"/>
    <w:rsid w:val="004854EC"/>
    <w:rsid w:val="004A55D6"/>
    <w:rsid w:val="004B2E7F"/>
    <w:rsid w:val="004C2B1A"/>
    <w:rsid w:val="004D0322"/>
    <w:rsid w:val="0050064F"/>
    <w:rsid w:val="00571C25"/>
    <w:rsid w:val="00577982"/>
    <w:rsid w:val="00577C8C"/>
    <w:rsid w:val="00593EE2"/>
    <w:rsid w:val="005B73A0"/>
    <w:rsid w:val="00611578"/>
    <w:rsid w:val="006248CB"/>
    <w:rsid w:val="006708C2"/>
    <w:rsid w:val="00696A40"/>
    <w:rsid w:val="006F2996"/>
    <w:rsid w:val="006F520B"/>
    <w:rsid w:val="007216DD"/>
    <w:rsid w:val="007543A7"/>
    <w:rsid w:val="007609BF"/>
    <w:rsid w:val="0077575B"/>
    <w:rsid w:val="007C57F6"/>
    <w:rsid w:val="007D69A4"/>
    <w:rsid w:val="00861032"/>
    <w:rsid w:val="00863EAD"/>
    <w:rsid w:val="0088085E"/>
    <w:rsid w:val="00927E20"/>
    <w:rsid w:val="00941A2E"/>
    <w:rsid w:val="00985D83"/>
    <w:rsid w:val="00996A16"/>
    <w:rsid w:val="009B4D0F"/>
    <w:rsid w:val="00A22326"/>
    <w:rsid w:val="00A46C2E"/>
    <w:rsid w:val="00A55F73"/>
    <w:rsid w:val="00A811A6"/>
    <w:rsid w:val="00A842BD"/>
    <w:rsid w:val="00A860F9"/>
    <w:rsid w:val="00AA3C25"/>
    <w:rsid w:val="00AC2586"/>
    <w:rsid w:val="00B4072A"/>
    <w:rsid w:val="00BC51F3"/>
    <w:rsid w:val="00C14D7C"/>
    <w:rsid w:val="00C36DB0"/>
    <w:rsid w:val="00C743AB"/>
    <w:rsid w:val="00C833FB"/>
    <w:rsid w:val="00CF36F7"/>
    <w:rsid w:val="00CF5971"/>
    <w:rsid w:val="00D05A60"/>
    <w:rsid w:val="00D125F8"/>
    <w:rsid w:val="00D20A27"/>
    <w:rsid w:val="00D33D8B"/>
    <w:rsid w:val="00D3439E"/>
    <w:rsid w:val="00D918CE"/>
    <w:rsid w:val="00D96BD0"/>
    <w:rsid w:val="00DB4D8B"/>
    <w:rsid w:val="00DF25C8"/>
    <w:rsid w:val="00E2770F"/>
    <w:rsid w:val="00E622AB"/>
    <w:rsid w:val="00EC5061"/>
    <w:rsid w:val="00EC50DE"/>
    <w:rsid w:val="00ED1BFB"/>
    <w:rsid w:val="00F174BE"/>
    <w:rsid w:val="00F5618B"/>
    <w:rsid w:val="00FD65AD"/>
    <w:rsid w:val="00FF02C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EB9E6"/>
  <w15:chartTrackingRefBased/>
  <w15:docId w15:val="{2DDF383F-CF15-4423-B563-99CBED94D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3AB"/>
    <w:rPr>
      <w:rFonts w:eastAsiaTheme="majorEastAsia" w:cstheme="majorBidi"/>
      <w:color w:val="272727" w:themeColor="text1" w:themeTint="D8"/>
    </w:rPr>
  </w:style>
  <w:style w:type="paragraph" w:styleId="Title">
    <w:name w:val="Title"/>
    <w:basedOn w:val="Normal"/>
    <w:next w:val="Normal"/>
    <w:link w:val="TitleChar"/>
    <w:uiPriority w:val="10"/>
    <w:qFormat/>
    <w:rsid w:val="00C74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3AB"/>
    <w:pPr>
      <w:spacing w:before="160"/>
      <w:jc w:val="center"/>
    </w:pPr>
    <w:rPr>
      <w:i/>
      <w:iCs/>
      <w:color w:val="404040" w:themeColor="text1" w:themeTint="BF"/>
    </w:rPr>
  </w:style>
  <w:style w:type="character" w:customStyle="1" w:styleId="QuoteChar">
    <w:name w:val="Quote Char"/>
    <w:basedOn w:val="DefaultParagraphFont"/>
    <w:link w:val="Quote"/>
    <w:uiPriority w:val="29"/>
    <w:rsid w:val="00C743AB"/>
    <w:rPr>
      <w:i/>
      <w:iCs/>
      <w:color w:val="404040" w:themeColor="text1" w:themeTint="BF"/>
    </w:rPr>
  </w:style>
  <w:style w:type="paragraph" w:styleId="ListParagraph">
    <w:name w:val="List Paragraph"/>
    <w:basedOn w:val="Normal"/>
    <w:uiPriority w:val="34"/>
    <w:qFormat/>
    <w:rsid w:val="00C743AB"/>
    <w:pPr>
      <w:ind w:left="720"/>
      <w:contextualSpacing/>
    </w:pPr>
  </w:style>
  <w:style w:type="character" w:styleId="IntenseEmphasis">
    <w:name w:val="Intense Emphasis"/>
    <w:basedOn w:val="DefaultParagraphFont"/>
    <w:uiPriority w:val="21"/>
    <w:qFormat/>
    <w:rsid w:val="00C743AB"/>
    <w:rPr>
      <w:i/>
      <w:iCs/>
      <w:color w:val="0F4761" w:themeColor="accent1" w:themeShade="BF"/>
    </w:rPr>
  </w:style>
  <w:style w:type="paragraph" w:styleId="IntenseQuote">
    <w:name w:val="Intense Quote"/>
    <w:basedOn w:val="Normal"/>
    <w:next w:val="Normal"/>
    <w:link w:val="IntenseQuoteChar"/>
    <w:uiPriority w:val="30"/>
    <w:qFormat/>
    <w:rsid w:val="00C74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3AB"/>
    <w:rPr>
      <w:i/>
      <w:iCs/>
      <w:color w:val="0F4761" w:themeColor="accent1" w:themeShade="BF"/>
    </w:rPr>
  </w:style>
  <w:style w:type="character" w:styleId="IntenseReference">
    <w:name w:val="Intense Reference"/>
    <w:basedOn w:val="DefaultParagraphFont"/>
    <w:uiPriority w:val="32"/>
    <w:qFormat/>
    <w:rsid w:val="00C743AB"/>
    <w:rPr>
      <w:b/>
      <w:bCs/>
      <w:smallCaps/>
      <w:color w:val="0F4761" w:themeColor="accent1" w:themeShade="BF"/>
      <w:spacing w:val="5"/>
    </w:rPr>
  </w:style>
  <w:style w:type="character" w:styleId="Hyperlink">
    <w:name w:val="Hyperlink"/>
    <w:basedOn w:val="DefaultParagraphFont"/>
    <w:uiPriority w:val="99"/>
    <w:unhideWhenUsed/>
    <w:rsid w:val="00861032"/>
    <w:rPr>
      <w:color w:val="467886" w:themeColor="hyperlink"/>
      <w:u w:val="single"/>
    </w:rPr>
  </w:style>
  <w:style w:type="character" w:styleId="UnresolvedMention">
    <w:name w:val="Unresolved Mention"/>
    <w:basedOn w:val="DefaultParagraphFont"/>
    <w:uiPriority w:val="99"/>
    <w:semiHidden/>
    <w:unhideWhenUsed/>
    <w:rsid w:val="00861032"/>
    <w:rPr>
      <w:color w:val="605E5C"/>
      <w:shd w:val="clear" w:color="auto" w:fill="E1DFDD"/>
    </w:rPr>
  </w:style>
  <w:style w:type="character" w:styleId="FollowedHyperlink">
    <w:name w:val="FollowedHyperlink"/>
    <w:basedOn w:val="DefaultParagraphFont"/>
    <w:uiPriority w:val="99"/>
    <w:semiHidden/>
    <w:unhideWhenUsed/>
    <w:rsid w:val="00A22326"/>
    <w:rPr>
      <w:color w:val="96607D" w:themeColor="followedHyperlink"/>
      <w:u w:val="single"/>
    </w:rPr>
  </w:style>
  <w:style w:type="table" w:styleId="TableGrid">
    <w:name w:val="Table Grid"/>
    <w:basedOn w:val="TableNormal"/>
    <w:uiPriority w:val="39"/>
    <w:rsid w:val="00C83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5618B"/>
    <w:rPr>
      <w:color w:val="666666"/>
    </w:rPr>
  </w:style>
  <w:style w:type="character" w:customStyle="1" w:styleId="normaltextrun">
    <w:name w:val="normaltextrun"/>
    <w:basedOn w:val="DefaultParagraphFont"/>
    <w:rsid w:val="00927E20"/>
  </w:style>
  <w:style w:type="character" w:customStyle="1" w:styleId="eop">
    <w:name w:val="eop"/>
    <w:basedOn w:val="DefaultParagraphFont"/>
    <w:rsid w:val="00927E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21965">
      <w:bodyDiv w:val="1"/>
      <w:marLeft w:val="0"/>
      <w:marRight w:val="0"/>
      <w:marTop w:val="0"/>
      <w:marBottom w:val="0"/>
      <w:divBdr>
        <w:top w:val="none" w:sz="0" w:space="0" w:color="auto"/>
        <w:left w:val="none" w:sz="0" w:space="0" w:color="auto"/>
        <w:bottom w:val="none" w:sz="0" w:space="0" w:color="auto"/>
        <w:right w:val="none" w:sz="0" w:space="0" w:color="auto"/>
      </w:divBdr>
      <w:divsChild>
        <w:div w:id="919753664">
          <w:marLeft w:val="0"/>
          <w:marRight w:val="0"/>
          <w:marTop w:val="0"/>
          <w:marBottom w:val="0"/>
          <w:divBdr>
            <w:top w:val="none" w:sz="0" w:space="0" w:color="auto"/>
            <w:left w:val="none" w:sz="0" w:space="0" w:color="auto"/>
            <w:bottom w:val="none" w:sz="0" w:space="0" w:color="auto"/>
            <w:right w:val="none" w:sz="0" w:space="0" w:color="auto"/>
          </w:divBdr>
          <w:divsChild>
            <w:div w:id="844127430">
              <w:marLeft w:val="0"/>
              <w:marRight w:val="0"/>
              <w:marTop w:val="0"/>
              <w:marBottom w:val="0"/>
              <w:divBdr>
                <w:top w:val="none" w:sz="0" w:space="0" w:color="auto"/>
                <w:left w:val="none" w:sz="0" w:space="0" w:color="auto"/>
                <w:bottom w:val="none" w:sz="0" w:space="0" w:color="auto"/>
                <w:right w:val="none" w:sz="0" w:space="0" w:color="auto"/>
              </w:divBdr>
              <w:divsChild>
                <w:div w:id="18492961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81151200">
      <w:bodyDiv w:val="1"/>
      <w:marLeft w:val="0"/>
      <w:marRight w:val="0"/>
      <w:marTop w:val="0"/>
      <w:marBottom w:val="0"/>
      <w:divBdr>
        <w:top w:val="none" w:sz="0" w:space="0" w:color="auto"/>
        <w:left w:val="none" w:sz="0" w:space="0" w:color="auto"/>
        <w:bottom w:val="none" w:sz="0" w:space="0" w:color="auto"/>
        <w:right w:val="none" w:sz="0" w:space="0" w:color="auto"/>
      </w:divBdr>
    </w:div>
    <w:div w:id="304241122">
      <w:bodyDiv w:val="1"/>
      <w:marLeft w:val="0"/>
      <w:marRight w:val="0"/>
      <w:marTop w:val="0"/>
      <w:marBottom w:val="0"/>
      <w:divBdr>
        <w:top w:val="none" w:sz="0" w:space="0" w:color="auto"/>
        <w:left w:val="none" w:sz="0" w:space="0" w:color="auto"/>
        <w:bottom w:val="none" w:sz="0" w:space="0" w:color="auto"/>
        <w:right w:val="none" w:sz="0" w:space="0" w:color="auto"/>
      </w:divBdr>
    </w:div>
    <w:div w:id="623583491">
      <w:bodyDiv w:val="1"/>
      <w:marLeft w:val="0"/>
      <w:marRight w:val="0"/>
      <w:marTop w:val="0"/>
      <w:marBottom w:val="0"/>
      <w:divBdr>
        <w:top w:val="none" w:sz="0" w:space="0" w:color="auto"/>
        <w:left w:val="none" w:sz="0" w:space="0" w:color="auto"/>
        <w:bottom w:val="none" w:sz="0" w:space="0" w:color="auto"/>
        <w:right w:val="none" w:sz="0" w:space="0" w:color="auto"/>
      </w:divBdr>
    </w:div>
    <w:div w:id="705911659">
      <w:bodyDiv w:val="1"/>
      <w:marLeft w:val="0"/>
      <w:marRight w:val="0"/>
      <w:marTop w:val="0"/>
      <w:marBottom w:val="0"/>
      <w:divBdr>
        <w:top w:val="none" w:sz="0" w:space="0" w:color="auto"/>
        <w:left w:val="none" w:sz="0" w:space="0" w:color="auto"/>
        <w:bottom w:val="none" w:sz="0" w:space="0" w:color="auto"/>
        <w:right w:val="none" w:sz="0" w:space="0" w:color="auto"/>
      </w:divBdr>
    </w:div>
    <w:div w:id="892470939">
      <w:bodyDiv w:val="1"/>
      <w:marLeft w:val="0"/>
      <w:marRight w:val="0"/>
      <w:marTop w:val="0"/>
      <w:marBottom w:val="0"/>
      <w:divBdr>
        <w:top w:val="none" w:sz="0" w:space="0" w:color="auto"/>
        <w:left w:val="none" w:sz="0" w:space="0" w:color="auto"/>
        <w:bottom w:val="none" w:sz="0" w:space="0" w:color="auto"/>
        <w:right w:val="none" w:sz="0" w:space="0" w:color="auto"/>
      </w:divBdr>
    </w:div>
    <w:div w:id="1089544877">
      <w:bodyDiv w:val="1"/>
      <w:marLeft w:val="0"/>
      <w:marRight w:val="0"/>
      <w:marTop w:val="0"/>
      <w:marBottom w:val="0"/>
      <w:divBdr>
        <w:top w:val="none" w:sz="0" w:space="0" w:color="auto"/>
        <w:left w:val="none" w:sz="0" w:space="0" w:color="auto"/>
        <w:bottom w:val="none" w:sz="0" w:space="0" w:color="auto"/>
        <w:right w:val="none" w:sz="0" w:space="0" w:color="auto"/>
      </w:divBdr>
    </w:div>
    <w:div w:id="1260992811">
      <w:bodyDiv w:val="1"/>
      <w:marLeft w:val="0"/>
      <w:marRight w:val="0"/>
      <w:marTop w:val="0"/>
      <w:marBottom w:val="0"/>
      <w:divBdr>
        <w:top w:val="none" w:sz="0" w:space="0" w:color="auto"/>
        <w:left w:val="none" w:sz="0" w:space="0" w:color="auto"/>
        <w:bottom w:val="none" w:sz="0" w:space="0" w:color="auto"/>
        <w:right w:val="none" w:sz="0" w:space="0" w:color="auto"/>
      </w:divBdr>
    </w:div>
    <w:div w:id="1529682136">
      <w:bodyDiv w:val="1"/>
      <w:marLeft w:val="0"/>
      <w:marRight w:val="0"/>
      <w:marTop w:val="0"/>
      <w:marBottom w:val="0"/>
      <w:divBdr>
        <w:top w:val="none" w:sz="0" w:space="0" w:color="auto"/>
        <w:left w:val="none" w:sz="0" w:space="0" w:color="auto"/>
        <w:bottom w:val="none" w:sz="0" w:space="0" w:color="auto"/>
        <w:right w:val="none" w:sz="0" w:space="0" w:color="auto"/>
      </w:divBdr>
      <w:divsChild>
        <w:div w:id="1554657139">
          <w:marLeft w:val="0"/>
          <w:marRight w:val="0"/>
          <w:marTop w:val="0"/>
          <w:marBottom w:val="0"/>
          <w:divBdr>
            <w:top w:val="none" w:sz="0" w:space="0" w:color="auto"/>
            <w:left w:val="none" w:sz="0" w:space="0" w:color="auto"/>
            <w:bottom w:val="none" w:sz="0" w:space="0" w:color="auto"/>
            <w:right w:val="none" w:sz="0" w:space="0" w:color="auto"/>
          </w:divBdr>
          <w:divsChild>
            <w:div w:id="508448075">
              <w:marLeft w:val="0"/>
              <w:marRight w:val="0"/>
              <w:marTop w:val="0"/>
              <w:marBottom w:val="0"/>
              <w:divBdr>
                <w:top w:val="none" w:sz="0" w:space="0" w:color="auto"/>
                <w:left w:val="none" w:sz="0" w:space="0" w:color="auto"/>
                <w:bottom w:val="none" w:sz="0" w:space="0" w:color="auto"/>
                <w:right w:val="none" w:sz="0" w:space="0" w:color="auto"/>
              </w:divBdr>
              <w:divsChild>
                <w:div w:id="396712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45038384">
      <w:bodyDiv w:val="1"/>
      <w:marLeft w:val="0"/>
      <w:marRight w:val="0"/>
      <w:marTop w:val="0"/>
      <w:marBottom w:val="0"/>
      <w:divBdr>
        <w:top w:val="none" w:sz="0" w:space="0" w:color="auto"/>
        <w:left w:val="none" w:sz="0" w:space="0" w:color="auto"/>
        <w:bottom w:val="none" w:sz="0" w:space="0" w:color="auto"/>
        <w:right w:val="none" w:sz="0" w:space="0" w:color="auto"/>
      </w:divBdr>
      <w:divsChild>
        <w:div w:id="1080325781">
          <w:marLeft w:val="0"/>
          <w:marRight w:val="0"/>
          <w:marTop w:val="0"/>
          <w:marBottom w:val="0"/>
          <w:divBdr>
            <w:top w:val="none" w:sz="0" w:space="0" w:color="auto"/>
            <w:left w:val="none" w:sz="0" w:space="0" w:color="auto"/>
            <w:bottom w:val="none" w:sz="0" w:space="0" w:color="auto"/>
            <w:right w:val="none" w:sz="0" w:space="0" w:color="auto"/>
          </w:divBdr>
          <w:divsChild>
            <w:div w:id="1426150784">
              <w:marLeft w:val="0"/>
              <w:marRight w:val="0"/>
              <w:marTop w:val="0"/>
              <w:marBottom w:val="0"/>
              <w:divBdr>
                <w:top w:val="none" w:sz="0" w:space="0" w:color="auto"/>
                <w:left w:val="none" w:sz="0" w:space="0" w:color="auto"/>
                <w:bottom w:val="none" w:sz="0" w:space="0" w:color="auto"/>
                <w:right w:val="none" w:sz="0" w:space="0" w:color="auto"/>
              </w:divBdr>
              <w:divsChild>
                <w:div w:id="29453186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4155695">
      <w:bodyDiv w:val="1"/>
      <w:marLeft w:val="0"/>
      <w:marRight w:val="0"/>
      <w:marTop w:val="0"/>
      <w:marBottom w:val="0"/>
      <w:divBdr>
        <w:top w:val="none" w:sz="0" w:space="0" w:color="auto"/>
        <w:left w:val="none" w:sz="0" w:space="0" w:color="auto"/>
        <w:bottom w:val="none" w:sz="0" w:space="0" w:color="auto"/>
        <w:right w:val="none" w:sz="0" w:space="0" w:color="auto"/>
      </w:divBdr>
      <w:divsChild>
        <w:div w:id="1551377520">
          <w:marLeft w:val="0"/>
          <w:marRight w:val="0"/>
          <w:marTop w:val="0"/>
          <w:marBottom w:val="0"/>
          <w:divBdr>
            <w:top w:val="none" w:sz="0" w:space="0" w:color="auto"/>
            <w:left w:val="none" w:sz="0" w:space="0" w:color="auto"/>
            <w:bottom w:val="none" w:sz="0" w:space="0" w:color="auto"/>
            <w:right w:val="none" w:sz="0" w:space="0" w:color="auto"/>
          </w:divBdr>
          <w:divsChild>
            <w:div w:id="686831148">
              <w:marLeft w:val="0"/>
              <w:marRight w:val="0"/>
              <w:marTop w:val="0"/>
              <w:marBottom w:val="0"/>
              <w:divBdr>
                <w:top w:val="none" w:sz="0" w:space="0" w:color="auto"/>
                <w:left w:val="none" w:sz="0" w:space="0" w:color="auto"/>
                <w:bottom w:val="none" w:sz="0" w:space="0" w:color="auto"/>
                <w:right w:val="none" w:sz="0" w:space="0" w:color="auto"/>
              </w:divBdr>
              <w:divsChild>
                <w:div w:id="151141211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85953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B4FB5-051B-45AD-A62D-48B3BC22D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272</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Northway, Cassidy</dc:creator>
  <cp:keywords/>
  <dc:description/>
  <cp:lastModifiedBy>Northway, Cassidy</cp:lastModifiedBy>
  <cp:revision>4</cp:revision>
  <dcterms:created xsi:type="dcterms:W3CDTF">2026-09-14T18:16:00Z</dcterms:created>
  <dcterms:modified xsi:type="dcterms:W3CDTF">2026-09-14T18:24:00Z</dcterms:modified>
</cp:coreProperties>
</file>