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8533" w14:textId="62411971" w:rsidR="00947E35" w:rsidRDefault="001B757A">
      <w:pPr>
        <w:rPr>
          <w:lang w:val="en-US"/>
        </w:rPr>
      </w:pPr>
      <w:r>
        <w:rPr>
          <w:lang w:val="en-US"/>
        </w:rPr>
        <w:t>Highlights</w:t>
      </w:r>
    </w:p>
    <w:p w14:paraId="3D72F7CB" w14:textId="4349C478" w:rsidR="001B757A" w:rsidRDefault="001B757A" w:rsidP="001B75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novel multiscale blood flow model has been developed to track blood volumes spatially and temporarily</w:t>
      </w:r>
    </w:p>
    <w:p w14:paraId="0DC4AD90" w14:textId="326C0D1A" w:rsidR="001B757A" w:rsidRDefault="0061514F" w:rsidP="001B75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Blood volumes can be tracked with variable time resolution throughout a model patient</w:t>
      </w:r>
    </w:p>
    <w:p w14:paraId="78B1DFD2" w14:textId="3624FA70" w:rsidR="0061514F" w:rsidRPr="001B757A" w:rsidRDefault="0061514F" w:rsidP="001B75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Dose to blood during spatially varying radiation therapy treatments can be assed</w:t>
      </w:r>
    </w:p>
    <w:sectPr w:rsidR="0061514F" w:rsidRPr="001B75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04FA"/>
    <w:multiLevelType w:val="hybridMultilevel"/>
    <w:tmpl w:val="1E146E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0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7A"/>
    <w:rsid w:val="0000197D"/>
    <w:rsid w:val="001B757A"/>
    <w:rsid w:val="00372C7F"/>
    <w:rsid w:val="005F1588"/>
    <w:rsid w:val="0061514F"/>
    <w:rsid w:val="006B04EC"/>
    <w:rsid w:val="00947E35"/>
    <w:rsid w:val="00F5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FC7E"/>
  <w15:chartTrackingRefBased/>
  <w15:docId w15:val="{73A8DCCE-A538-4A0D-8027-FEC40543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cbn@student.ubc.ca</dc:creator>
  <cp:keywords/>
  <dc:description/>
  <cp:lastModifiedBy>cbn@student.ubc.ca</cp:lastModifiedBy>
  <cp:revision>2</cp:revision>
  <dcterms:created xsi:type="dcterms:W3CDTF">2025-12-04T22:08:00Z</dcterms:created>
  <dcterms:modified xsi:type="dcterms:W3CDTF">2025-12-04T22:12:00Z</dcterms:modified>
</cp:coreProperties>
</file>