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12BA" w14:textId="1191E83C" w:rsidR="00861032" w:rsidRPr="00861032" w:rsidRDefault="00861032" w:rsidP="00861032">
      <w:r w:rsidRPr="00861032">
        <w:rPr>
          <w:b/>
          <w:bCs/>
        </w:rPr>
        <w:t>TITLE</w:t>
      </w:r>
      <w:r w:rsidR="00A22326">
        <w:rPr>
          <w:b/>
          <w:bCs/>
        </w:rPr>
        <w:t xml:space="preserve">: </w:t>
      </w:r>
      <w:r w:rsidR="00A22326" w:rsidRPr="00A22326">
        <w:rPr>
          <w:b/>
          <w:bCs/>
        </w:rPr>
        <w:t>Assessing the Homogeneity of Dose Delivered to Blood During Sweeping Cobalt-60 Total Body Irradiation</w:t>
      </w:r>
    </w:p>
    <w:p w14:paraId="5585BB46" w14:textId="4926FAF9" w:rsidR="00454566" w:rsidRDefault="00454566" w:rsidP="00454566">
      <w:r>
        <w:rPr>
          <w:b/>
          <w:bCs/>
        </w:rPr>
        <w:t>ABSTRACT</w:t>
      </w:r>
      <w:r w:rsidR="00B4072A">
        <w:rPr>
          <w:b/>
          <w:bCs/>
        </w:rPr>
        <w:t xml:space="preserve"> (2</w:t>
      </w:r>
      <w:r w:rsidR="004B2E7F">
        <w:rPr>
          <w:b/>
          <w:bCs/>
        </w:rPr>
        <w:t>40</w:t>
      </w:r>
      <w:r w:rsidR="00B4072A">
        <w:rPr>
          <w:b/>
          <w:bCs/>
        </w:rPr>
        <w:t>/300 words)</w:t>
      </w:r>
    </w:p>
    <w:p w14:paraId="5972D025" w14:textId="12402024" w:rsidR="00223E0A" w:rsidRDefault="00861032" w:rsidP="00223E0A">
      <w:pPr>
        <w:spacing w:line="276" w:lineRule="auto"/>
      </w:pPr>
      <w:r w:rsidRPr="00861032">
        <w:rPr>
          <w:b/>
          <w:bCs/>
        </w:rPr>
        <w:t>Purpose:</w:t>
      </w:r>
      <w:r w:rsidR="00A860F9">
        <w:rPr>
          <w:b/>
          <w:bCs/>
        </w:rPr>
        <w:t xml:space="preserve">  </w:t>
      </w:r>
      <w:r w:rsidR="00927E20" w:rsidRPr="00927E20">
        <w:rPr>
          <w:b/>
          <w:bCs/>
        </w:rPr>
        <w:t> </w:t>
      </w:r>
      <w:r w:rsidR="00927E20" w:rsidRPr="00927E20">
        <w:t>Total body irradiation (TBI) requires the entirety of the patient's body to be irradiated, and treatment methods vary greatly across treatment centres. For many of these techniques, little is known about the heterogeneity of dose delivered to the circulating blood. To assess the dose delivered to the circulating blood volume during Sweeping Cobalt-60 (Co-60) TBI, a full body blood flow simulation was combined with Monte Carlo generated 4D dose distributions.</w:t>
      </w:r>
    </w:p>
    <w:p w14:paraId="0AE06984" w14:textId="070D3F5E" w:rsidR="00223E0A" w:rsidRDefault="00861032" w:rsidP="00223E0A">
      <w:pPr>
        <w:spacing w:line="276" w:lineRule="auto"/>
      </w:pPr>
      <w:r w:rsidRPr="00861032">
        <w:rPr>
          <w:b/>
          <w:bCs/>
        </w:rPr>
        <w:br/>
        <w:t>Methods:</w:t>
      </w:r>
      <w:r w:rsidR="0088085E">
        <w:rPr>
          <w:b/>
          <w:bCs/>
        </w:rPr>
        <w:t xml:space="preserve"> </w:t>
      </w:r>
      <w:r w:rsidR="0088085E">
        <w:t xml:space="preserve"> </w:t>
      </w:r>
      <w:r w:rsidR="00927E20" w:rsidRPr="00927E20">
        <w:t>A virtual phantom was used to create a Monte Carlo phantom mimicking a Co-60 TBI treatment set-up. Time-resolved Monte Carlo simulations using modified DOSXYZnrc, for both supine and prone patient positions, were completed. The virtual phantom also enabled the creation of a blood flow model which spatio-temporally tracks blood volumes (BVs) through the phantom. The model is composed of 94 vessel segments and 28 compartments.</w:t>
      </w:r>
      <w:r w:rsidR="00927E20" w:rsidRPr="00927E20">
        <w:rPr>
          <w:rFonts w:ascii="Arial" w:hAnsi="Arial" w:cs="Arial"/>
        </w:rPr>
        <w:t> </w:t>
      </w:r>
      <w:r w:rsidR="00927E20" w:rsidRPr="00927E20">
        <w:rPr>
          <w:rFonts w:ascii="Aptos" w:hAnsi="Aptos" w:cs="Aptos"/>
        </w:rPr>
        <w:t> </w:t>
      </w:r>
      <w:r w:rsidR="00927E20" w:rsidRPr="00927E20">
        <w:t>BV trajectories were</w:t>
      </w:r>
      <w:r w:rsidR="00927E20" w:rsidRPr="00927E20">
        <w:rPr>
          <w:rFonts w:ascii="Aptos" w:hAnsi="Aptos" w:cs="Aptos"/>
        </w:rPr>
        <w:t> </w:t>
      </w:r>
      <w:r w:rsidR="00927E20" w:rsidRPr="00927E20">
        <w:t>determined</w:t>
      </w:r>
      <w:r w:rsidR="00927E20" w:rsidRPr="00927E20">
        <w:rPr>
          <w:rFonts w:ascii="Aptos" w:hAnsi="Aptos" w:cs="Aptos"/>
        </w:rPr>
        <w:t> </w:t>
      </w:r>
      <w:r w:rsidR="00927E20" w:rsidRPr="00927E20">
        <w:t>using</w:t>
      </w:r>
      <w:r w:rsidR="00927E20" w:rsidRPr="00927E20">
        <w:rPr>
          <w:rFonts w:ascii="Aptos" w:hAnsi="Aptos" w:cs="Aptos"/>
        </w:rPr>
        <w:t> </w:t>
      </w:r>
      <w:r w:rsidR="00927E20" w:rsidRPr="00927E20">
        <w:t>a combination of</w:t>
      </w:r>
      <w:r w:rsidR="00927E20" w:rsidRPr="00927E20">
        <w:rPr>
          <w:rFonts w:ascii="Aptos" w:hAnsi="Aptos" w:cs="Aptos"/>
        </w:rPr>
        <w:t> </w:t>
      </w:r>
      <w:r w:rsidR="00927E20" w:rsidRPr="00927E20">
        <w:t>one-dimensional blood flow modeling, in-vivo data, and zero-dimensional compartments. The 4D dose distributions were sampled as the BVs moved through the flow model. For a 12 Gy prescription, in 6 fractions with two patient positions (supine and prone) each and 15 sweeps per position per fraction, the dose to the circulating blood was determined for a single fraction and the entire treatment. </w:t>
      </w:r>
    </w:p>
    <w:p w14:paraId="3ADBD4A5" w14:textId="367FD992" w:rsidR="00927E20" w:rsidRDefault="00861032" w:rsidP="00223E0A">
      <w:pPr>
        <w:spacing w:line="276" w:lineRule="auto"/>
      </w:pPr>
      <w:r w:rsidRPr="00861032">
        <w:rPr>
          <w:b/>
          <w:bCs/>
        </w:rPr>
        <w:t>Results</w:t>
      </w:r>
      <w:r w:rsidR="007C57F6" w:rsidRPr="007C57F6">
        <w:rPr>
          <w:b/>
          <w:bCs/>
        </w:rPr>
        <w:t>:</w:t>
      </w:r>
      <w:r w:rsidR="007C57F6" w:rsidRPr="007C57F6">
        <w:t xml:space="preserve"> </w:t>
      </w:r>
      <w:r w:rsidR="00927E20" w:rsidRPr="00927E20">
        <w:t>The circulating blood received 1.25 ± 0.98 Gy in one fraction and </w:t>
      </w:r>
      <w:r w:rsidR="00927E20">
        <w:t xml:space="preserve">10.76 </w:t>
      </w:r>
      <w:r w:rsidR="00927E20" w:rsidRPr="00927E20">
        <w:t xml:space="preserve">± </w:t>
      </w:r>
      <w:r w:rsidR="00927E20">
        <w:t xml:space="preserve">2.36 </w:t>
      </w:r>
      <w:r w:rsidR="00927E20" w:rsidRPr="00927E20">
        <w:t>Gy after all fractions.</w:t>
      </w:r>
    </w:p>
    <w:p w14:paraId="719923FD" w14:textId="617043AA" w:rsidR="0077575B" w:rsidRDefault="00861032" w:rsidP="00927E20">
      <w:pPr>
        <w:spacing w:line="276" w:lineRule="auto"/>
      </w:pPr>
      <w:r w:rsidRPr="00861032">
        <w:rPr>
          <w:b/>
          <w:bCs/>
        </w:rPr>
        <w:t>Conclusion:</w:t>
      </w:r>
      <w:r w:rsidR="00DB4D8B">
        <w:rPr>
          <w:b/>
          <w:bCs/>
        </w:rPr>
        <w:t xml:space="preserve"> </w:t>
      </w:r>
      <w:r w:rsidR="00927E20" w:rsidRPr="00927E20">
        <w:t>A whole-body blood flow model was paired with 4D dose distributions to assess the heterogeneity of the dose to the circulating blood achieved by sweeping beam Co-60 TBI. </w:t>
      </w:r>
    </w:p>
    <w:p w14:paraId="64D90FE3" w14:textId="77777777" w:rsidR="0077575B" w:rsidRDefault="0077575B" w:rsidP="0077575B"/>
    <w:p w14:paraId="14C01364" w14:textId="77777777" w:rsidR="0077575B" w:rsidRDefault="0077575B" w:rsidP="0077575B"/>
    <w:p w14:paraId="0BDC479D" w14:textId="77777777" w:rsidR="00CF36F7" w:rsidRDefault="0011069C" w:rsidP="0077575B">
      <w:r w:rsidRPr="0011069C">
        <w:br/>
      </w:r>
    </w:p>
    <w:p w14:paraId="44943E1C" w14:textId="77777777" w:rsidR="00CF36F7" w:rsidRDefault="00CF36F7" w:rsidP="0077575B"/>
    <w:p w14:paraId="05E91AFB" w14:textId="77777777" w:rsidR="00CF36F7" w:rsidRDefault="00CF36F7" w:rsidP="0077575B"/>
    <w:p w14:paraId="13F25CAF" w14:textId="77777777" w:rsidR="00CF36F7" w:rsidRDefault="00CF36F7" w:rsidP="0077575B"/>
    <w:p w14:paraId="25D294AD" w14:textId="5ABCB180" w:rsidR="0011069C" w:rsidRDefault="0011069C" w:rsidP="0077575B">
      <w:r w:rsidRPr="0011069C">
        <w:br/>
      </w:r>
    </w:p>
    <w:p w14:paraId="5D53BBFA" w14:textId="77777777" w:rsidR="00223E0A" w:rsidRDefault="00223E0A" w:rsidP="0077575B"/>
    <w:p w14:paraId="1524D983" w14:textId="77777777" w:rsidR="00223E0A" w:rsidRDefault="00223E0A" w:rsidP="0077575B"/>
    <w:p w14:paraId="79670AA3" w14:textId="77777777" w:rsidR="00223E0A" w:rsidRDefault="00223E0A" w:rsidP="0077575B"/>
    <w:p w14:paraId="5C8EB742" w14:textId="77777777" w:rsidR="00223E0A" w:rsidRDefault="00223E0A" w:rsidP="0077575B"/>
    <w:p w14:paraId="6903B4C0" w14:textId="77777777" w:rsidR="00223E0A" w:rsidRDefault="00223E0A" w:rsidP="0077575B"/>
    <w:p w14:paraId="285CC7D5" w14:textId="77777777" w:rsidR="00223E0A" w:rsidRDefault="00223E0A" w:rsidP="0077575B"/>
    <w:p w14:paraId="45016C8E" w14:textId="77777777" w:rsidR="00223E0A" w:rsidRPr="0011069C" w:rsidRDefault="00223E0A" w:rsidP="0077575B"/>
    <w:p w14:paraId="216E5776" w14:textId="77777777" w:rsidR="00861032" w:rsidRDefault="00861032" w:rsidP="00861032"/>
    <w:p w14:paraId="3B451A70" w14:textId="77777777" w:rsidR="00861032" w:rsidRPr="00861032" w:rsidRDefault="00861032" w:rsidP="00861032">
      <w:r w:rsidRPr="00861032">
        <w:rPr>
          <w:b/>
          <w:bCs/>
          <w:u w:val="single"/>
        </w:rPr>
        <w:t>SUPPORTING DOCUMENT</w:t>
      </w:r>
    </w:p>
    <w:p w14:paraId="6514119A" w14:textId="77777777" w:rsidR="00861032" w:rsidRPr="00861032" w:rsidRDefault="00861032" w:rsidP="00861032">
      <w:pPr>
        <w:numPr>
          <w:ilvl w:val="0"/>
          <w:numId w:val="4"/>
        </w:numPr>
      </w:pPr>
      <w:r w:rsidRPr="00861032">
        <w:t>The Supporting Document should include a statement of </w:t>
      </w:r>
      <w:r w:rsidRPr="00861032">
        <w:rPr>
          <w:b/>
          <w:bCs/>
        </w:rPr>
        <w:t>Innovation/Impact </w:t>
      </w:r>
      <w:r w:rsidRPr="00861032">
        <w:t>to help identify the most exciting and interesting submissions.</w:t>
      </w:r>
    </w:p>
    <w:p w14:paraId="4DF435C2" w14:textId="77777777" w:rsidR="00861032" w:rsidRPr="00861032" w:rsidRDefault="00861032" w:rsidP="00861032">
      <w:pPr>
        <w:numPr>
          <w:ilvl w:val="0"/>
          <w:numId w:val="5"/>
        </w:numPr>
      </w:pPr>
      <w:r w:rsidRPr="00861032">
        <w:t>The Supporting Document </w:t>
      </w:r>
      <w:r w:rsidRPr="00861032">
        <w:rPr>
          <w:b/>
          <w:bCs/>
        </w:rPr>
        <w:t>must not include the title or list any author names</w:t>
      </w:r>
      <w:r w:rsidRPr="00861032">
        <w:t>. To maintain the integrity of our blind review process, no author information or institutional affiliations should be included anywhere in the Supporting Document.</w:t>
      </w:r>
    </w:p>
    <w:p w14:paraId="2CBF3423" w14:textId="77777777" w:rsidR="00861032" w:rsidRPr="00861032" w:rsidRDefault="00861032" w:rsidP="00861032">
      <w:pPr>
        <w:numPr>
          <w:ilvl w:val="0"/>
          <w:numId w:val="5"/>
        </w:numPr>
      </w:pPr>
      <w:r w:rsidRPr="00861032">
        <w:t>The Abstract cannot depend on the Supporting Document, nor should it refer to it. The Supporting Document will not be published in the program, so references to it (e.g., "as can be seen in Fig 1 of the Supporting Document" "Results are listed in the table in the Supporting Document") should not be made.</w:t>
      </w:r>
    </w:p>
    <w:p w14:paraId="6333E8A2" w14:textId="00569158" w:rsidR="00861032" w:rsidRPr="00861032" w:rsidRDefault="00861032" w:rsidP="0077575B">
      <w:pPr>
        <w:numPr>
          <w:ilvl w:val="0"/>
          <w:numId w:val="6"/>
        </w:numPr>
      </w:pPr>
      <w:r w:rsidRPr="00861032">
        <w:t>A Supporting Document is</w:t>
      </w:r>
      <w:r w:rsidRPr="00861032">
        <w:rPr>
          <w:b/>
          <w:bCs/>
        </w:rPr>
        <w:t> REQUIRED </w:t>
      </w:r>
      <w:r w:rsidRPr="00861032">
        <w:t>for the following submission types and </w:t>
      </w:r>
      <w:r w:rsidRPr="00861032">
        <w:rPr>
          <w:b/>
          <w:bCs/>
        </w:rPr>
        <w:t>limited to 2 pages</w:t>
      </w:r>
      <w:r w:rsidRPr="00861032">
        <w:t>:</w:t>
      </w:r>
    </w:p>
    <w:p w14:paraId="59707367" w14:textId="77777777" w:rsidR="00861032" w:rsidRPr="0077575B" w:rsidRDefault="00861032" w:rsidP="00861032">
      <w:pPr>
        <w:numPr>
          <w:ilvl w:val="1"/>
          <w:numId w:val="7"/>
        </w:numPr>
        <w:rPr>
          <w:highlight w:val="yellow"/>
        </w:rPr>
      </w:pPr>
      <w:r w:rsidRPr="0077575B">
        <w:rPr>
          <w:highlight w:val="yellow"/>
        </w:rPr>
        <w:t>John R. Cameron &amp; John R. Cunningham Early-Career Investigator Symposium (ECIS)</w:t>
      </w:r>
    </w:p>
    <w:p w14:paraId="4A082D7B" w14:textId="77777777" w:rsidR="00861032" w:rsidRPr="00861032" w:rsidRDefault="00861032" w:rsidP="00861032">
      <w:pPr>
        <w:numPr>
          <w:ilvl w:val="1"/>
          <w:numId w:val="7"/>
        </w:numPr>
      </w:pPr>
      <w:r w:rsidRPr="00861032">
        <w:t>Early-Career Investigator Competition (ECIC)</w:t>
      </w:r>
    </w:p>
    <w:p w14:paraId="36C59336" w14:textId="77777777" w:rsidR="00861032" w:rsidRPr="00861032" w:rsidRDefault="00861032" w:rsidP="00861032">
      <w:pPr>
        <w:numPr>
          <w:ilvl w:val="1"/>
          <w:numId w:val="7"/>
        </w:numPr>
      </w:pPr>
      <w:r w:rsidRPr="00861032">
        <w:t>Science Council Session</w:t>
      </w:r>
    </w:p>
    <w:p w14:paraId="54AD5C0D" w14:textId="77777777" w:rsidR="00861032" w:rsidRPr="00861032" w:rsidRDefault="00861032" w:rsidP="00861032">
      <w:pPr>
        <w:numPr>
          <w:ilvl w:val="1"/>
          <w:numId w:val="7"/>
        </w:numPr>
      </w:pPr>
      <w:r w:rsidRPr="00861032">
        <w:t>Innovation in Medical Physics Education: Arthur Boyer Award</w:t>
      </w:r>
    </w:p>
    <w:p w14:paraId="19B14BF9" w14:textId="77777777" w:rsidR="00861032" w:rsidRPr="00861032" w:rsidRDefault="00861032" w:rsidP="00861032">
      <w:pPr>
        <w:numPr>
          <w:ilvl w:val="0"/>
          <w:numId w:val="8"/>
        </w:numPr>
      </w:pPr>
      <w:r w:rsidRPr="00861032">
        <w:rPr>
          <w:b/>
          <w:bCs/>
        </w:rPr>
        <w:t>If a supporting document is longer than the allowed page limit, it will receive a lower score.</w:t>
      </w:r>
    </w:p>
    <w:p w14:paraId="41BC3C7D" w14:textId="77777777" w:rsidR="00861032" w:rsidRPr="00861032" w:rsidRDefault="00861032" w:rsidP="00861032">
      <w:pPr>
        <w:numPr>
          <w:ilvl w:val="0"/>
          <w:numId w:val="8"/>
        </w:numPr>
      </w:pPr>
      <w:r w:rsidRPr="00861032">
        <w:t>Use 11-point Arial Font and 0.5" margins. The Supporting Document should be limited to a small number of clear figures and/or equations with self-explanatory captions.</w:t>
      </w:r>
    </w:p>
    <w:p w14:paraId="6D69679E" w14:textId="77777777" w:rsidR="00861032" w:rsidRPr="00861032" w:rsidRDefault="00861032" w:rsidP="00861032">
      <w:pPr>
        <w:numPr>
          <w:ilvl w:val="0"/>
          <w:numId w:val="8"/>
        </w:numPr>
      </w:pPr>
      <w:r w:rsidRPr="00861032">
        <w:t>The Supporting Document should NOT be used for extensive text descriptions and should not repeat material contained in the abstract.</w:t>
      </w:r>
    </w:p>
    <w:p w14:paraId="7FB8FAED" w14:textId="77777777" w:rsidR="00861032" w:rsidRPr="00861032" w:rsidRDefault="00861032" w:rsidP="00861032">
      <w:pPr>
        <w:numPr>
          <w:ilvl w:val="0"/>
          <w:numId w:val="9"/>
        </w:numPr>
      </w:pPr>
      <w:r w:rsidRPr="00861032">
        <w:t>Preferred format is illustrated in the </w:t>
      </w:r>
      <w:hyperlink r:id="rId6" w:history="1">
        <w:r w:rsidRPr="00861032">
          <w:rPr>
            <w:rStyle w:val="Hyperlink"/>
          </w:rPr>
          <w:t>Sample Supporting Document</w:t>
        </w:r>
      </w:hyperlink>
      <w:r w:rsidRPr="00861032">
        <w:t>.</w:t>
      </w:r>
    </w:p>
    <w:p w14:paraId="767F50E7" w14:textId="77777777" w:rsidR="00861032" w:rsidRPr="00861032" w:rsidRDefault="00861032" w:rsidP="00861032">
      <w:pPr>
        <w:numPr>
          <w:ilvl w:val="0"/>
          <w:numId w:val="9"/>
        </w:numPr>
      </w:pPr>
      <w:r w:rsidRPr="00861032">
        <w:t>The Supporting Document </w:t>
      </w:r>
      <w:r w:rsidRPr="00861032">
        <w:rPr>
          <w:b/>
          <w:bCs/>
        </w:rPr>
        <w:t>must be submitted as a PDF format file</w:t>
      </w:r>
      <w:r w:rsidRPr="00861032">
        <w:t>.</w:t>
      </w:r>
    </w:p>
    <w:p w14:paraId="0D4FA309" w14:textId="77777777" w:rsidR="00861032" w:rsidRDefault="00861032" w:rsidP="00861032">
      <w:pPr>
        <w:numPr>
          <w:ilvl w:val="0"/>
          <w:numId w:val="9"/>
        </w:numPr>
      </w:pPr>
      <w:r w:rsidRPr="00861032">
        <w:t>The Supporting Document must be uploaded to our server by clicking the "Upload Supporting Document" icon that will appear on your status page once you have provided all the required information.</w:t>
      </w:r>
    </w:p>
    <w:p w14:paraId="7B499494" w14:textId="77777777" w:rsidR="00CF36F7" w:rsidRDefault="00CF36F7" w:rsidP="00CF36F7"/>
    <w:p w14:paraId="38662339" w14:textId="77777777" w:rsidR="00CF36F7" w:rsidRDefault="00CF36F7" w:rsidP="00CF36F7"/>
    <w:p w14:paraId="6C4335F8" w14:textId="77777777" w:rsidR="00CF36F7" w:rsidRDefault="00CF36F7" w:rsidP="00CF36F7"/>
    <w:p w14:paraId="14D29E0E" w14:textId="77777777" w:rsidR="00CF36F7" w:rsidRDefault="00CF36F7" w:rsidP="00CF36F7"/>
    <w:p w14:paraId="5FBF8297" w14:textId="77777777" w:rsidR="00CF36F7" w:rsidRDefault="00CF36F7" w:rsidP="00CF36F7"/>
    <w:p w14:paraId="1DBDDD01" w14:textId="77777777" w:rsidR="00CF36F7" w:rsidRDefault="00CF36F7" w:rsidP="00CF36F7"/>
    <w:p w14:paraId="3FF8E766" w14:textId="77777777" w:rsidR="00CF36F7" w:rsidRDefault="00CF36F7" w:rsidP="00CF36F7"/>
    <w:p w14:paraId="7DF85277" w14:textId="77777777" w:rsidR="00CF36F7" w:rsidRDefault="00CF36F7" w:rsidP="00CF36F7"/>
    <w:p w14:paraId="71746E09" w14:textId="77777777" w:rsidR="00CF36F7" w:rsidRDefault="00CF36F7" w:rsidP="00CF36F7"/>
    <w:p w14:paraId="4B8D6906" w14:textId="77777777" w:rsidR="00927E20" w:rsidRDefault="00927E20" w:rsidP="00C833FB">
      <w:pPr>
        <w:spacing w:line="240" w:lineRule="auto"/>
      </w:pPr>
    </w:p>
    <w:p w14:paraId="23E33CB3" w14:textId="0A29C78E" w:rsidR="00CF36F7" w:rsidRDefault="00927E20" w:rsidP="00C833FB">
      <w:pPr>
        <w:spacing w:line="240" w:lineRule="auto"/>
        <w:rPr>
          <w:rFonts w:ascii="Arial" w:hAnsi="Arial" w:cs="Arial"/>
        </w:rPr>
      </w:pPr>
      <w:r>
        <w:rPr>
          <w:rStyle w:val="normaltextrun"/>
          <w:rFonts w:ascii="Arial" w:hAnsi="Arial" w:cs="Arial"/>
          <w:b/>
          <w:bCs/>
          <w:color w:val="000000"/>
          <w:shd w:val="clear" w:color="auto" w:fill="FFFFFF"/>
        </w:rPr>
        <w:lastRenderedPageBreak/>
        <w:t>Innovation/Impact: </w:t>
      </w:r>
      <w:r>
        <w:rPr>
          <w:rStyle w:val="normaltextrun"/>
          <w:rFonts w:ascii="Arial" w:hAnsi="Arial" w:cs="Arial"/>
          <w:color w:val="000000"/>
          <w:shd w:val="clear" w:color="auto" w:fill="FFFFFF"/>
        </w:rPr>
        <w:t>This study is innovative because it utilizes a novel methodology to assess the heterogeneity of dose delivered to the circulating blood during Total Body Irradiation (TBI). After assessing sweeping Cobalt-60 TBI this method will be used to address lingering concerns regarding the heterogeneity of the dose delivered to circulating blood achieved by emerging sequential techniques such as VMAT TBI.                                                                                                                                                               </w:t>
      </w:r>
      <w:r>
        <w:rPr>
          <w:rStyle w:val="normaltextrun"/>
          <w:rFonts w:ascii="Arial" w:hAnsi="Arial" w:cs="Arial"/>
          <w:b/>
          <w:bCs/>
          <w:color w:val="000000"/>
          <w:shd w:val="clear" w:color="auto" w:fill="FFFFFF"/>
        </w:rPr>
        <w:t>Key Results: </w:t>
      </w:r>
      <w:r>
        <w:rPr>
          <w:rStyle w:val="normaltextrun"/>
          <w:rFonts w:ascii="Arial" w:hAnsi="Arial" w:cs="Arial"/>
          <w:color w:val="000000"/>
          <w:shd w:val="clear" w:color="auto" w:fill="FFFFFF"/>
        </w:rPr>
        <w:t>The study utilized a full-body phantom (Figure 1) to provide both the geometry for the blood flow model and the medium for the Monte Carlo simulations. The blood flow model utilizes a combination of 1D and 0D compartments (Figure 2) and was validated against other published works (Figure 3). How dose is accumulated while travelling through vessels is described in Figure 4, and Figure 5 describes the process in the compartments. For Anterior-Posterior sweeping Cobalt-60 beam technique with a prescribed dose of 12 Gy over 6 fractions (15 sweeps delivered in 6.81 minutes per position per fraction</w:t>
      </w:r>
      <w:r>
        <w:rPr>
          <w:rStyle w:val="normaltextrun"/>
          <w:rFonts w:ascii="Arial" w:hAnsi="Arial" w:cs="Arial"/>
          <w:color w:val="000000"/>
          <w:shd w:val="clear" w:color="auto" w:fill="FFFFFF"/>
        </w:rPr>
        <w:t>), the</w:t>
      </w:r>
      <w:r>
        <w:rPr>
          <w:rStyle w:val="normaltextrun"/>
          <w:rFonts w:ascii="Arial" w:hAnsi="Arial" w:cs="Arial"/>
          <w:color w:val="000000"/>
          <w:shd w:val="clear" w:color="auto" w:fill="FFFFFF"/>
        </w:rPr>
        <w:t> resulting dose after one fraction and all fractions are presented in Figure 6.</w:t>
      </w:r>
      <w:r>
        <w:rPr>
          <w:rStyle w:val="eop"/>
          <w:rFonts w:ascii="Arial" w:hAnsi="Arial" w:cs="Arial"/>
          <w:color w:val="000000"/>
          <w:shd w:val="clear" w:color="auto" w:fill="FFFFFF"/>
        </w:rPr>
        <w:t> </w:t>
      </w:r>
    </w:p>
    <w:tbl>
      <w:tblPr>
        <w:tblStyle w:val="TableGrid"/>
        <w:tblW w:w="0" w:type="auto"/>
        <w:tblLook w:val="04A0" w:firstRow="1" w:lastRow="0" w:firstColumn="1" w:lastColumn="0" w:noHBand="0" w:noVBand="1"/>
      </w:tblPr>
      <w:tblGrid>
        <w:gridCol w:w="3200"/>
        <w:gridCol w:w="7590"/>
      </w:tblGrid>
      <w:tr w:rsidR="00571C25" w14:paraId="434CC972" w14:textId="2239370F" w:rsidTr="00A55F73">
        <w:tc>
          <w:tcPr>
            <w:tcW w:w="2958" w:type="dxa"/>
            <w:vAlign w:val="center"/>
          </w:tcPr>
          <w:p w14:paraId="37DA0DB6" w14:textId="2A2A21CD" w:rsidR="0050064F" w:rsidRDefault="0050064F" w:rsidP="00A55F73">
            <w:pPr>
              <w:jc w:val="center"/>
              <w:rPr>
                <w:rFonts w:ascii="Arial" w:hAnsi="Arial" w:cs="Arial"/>
              </w:rPr>
            </w:pPr>
            <w:r>
              <w:rPr>
                <w:noProof/>
              </w:rPr>
              <w:drawing>
                <wp:inline distT="0" distB="0" distL="0" distR="0" wp14:anchorId="2D5F8ABE" wp14:editId="0E1CC3C0">
                  <wp:extent cx="3624889" cy="1464497"/>
                  <wp:effectExtent l="0" t="5715" r="8255" b="8255"/>
                  <wp:docPr id="49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091" name=""/>
                          <pic:cNvPicPr/>
                        </pic:nvPicPr>
                        <pic:blipFill>
                          <a:blip r:embed="rId7"/>
                          <a:stretch>
                            <a:fillRect/>
                          </a:stretch>
                        </pic:blipFill>
                        <pic:spPr>
                          <a:xfrm rot="16200000">
                            <a:off x="0" y="0"/>
                            <a:ext cx="3635150" cy="1468643"/>
                          </a:xfrm>
                          <a:prstGeom prst="rect">
                            <a:avLst/>
                          </a:prstGeom>
                        </pic:spPr>
                      </pic:pic>
                    </a:graphicData>
                  </a:graphic>
                </wp:inline>
              </w:drawing>
            </w:r>
          </w:p>
        </w:tc>
        <w:tc>
          <w:tcPr>
            <w:tcW w:w="7832" w:type="dxa"/>
            <w:vAlign w:val="center"/>
          </w:tcPr>
          <w:p w14:paraId="0801FB31" w14:textId="41E9E58C" w:rsidR="0050064F" w:rsidRDefault="001366DE" w:rsidP="00A55F73">
            <w:pPr>
              <w:jc w:val="center"/>
              <w:rPr>
                <w:noProof/>
              </w:rPr>
            </w:pPr>
            <w:r w:rsidRPr="001366DE">
              <w:rPr>
                <w:noProof/>
              </w:rPr>
              <w:drawing>
                <wp:anchor distT="0" distB="0" distL="114300" distR="114300" simplePos="0" relativeHeight="251658240" behindDoc="1" locked="0" layoutInCell="1" allowOverlap="1" wp14:anchorId="4517F4EA" wp14:editId="61CA80BE">
                  <wp:simplePos x="0" y="0"/>
                  <wp:positionH relativeFrom="column">
                    <wp:posOffset>17618</wp:posOffset>
                  </wp:positionH>
                  <wp:positionV relativeFrom="paragraph">
                    <wp:posOffset>162</wp:posOffset>
                  </wp:positionV>
                  <wp:extent cx="4300220" cy="3284855"/>
                  <wp:effectExtent l="0" t="0" r="5080" b="0"/>
                  <wp:wrapTight wrapText="bothSides">
                    <wp:wrapPolygon edited="0">
                      <wp:start x="0" y="0"/>
                      <wp:lineTo x="0" y="21420"/>
                      <wp:lineTo x="21530" y="21420"/>
                      <wp:lineTo x="21530" y="0"/>
                      <wp:lineTo x="0" y="0"/>
                    </wp:wrapPolygon>
                  </wp:wrapTight>
                  <wp:docPr id="162190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085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0220" cy="3284855"/>
                          </a:xfrm>
                          <a:prstGeom prst="rect">
                            <a:avLst/>
                          </a:prstGeom>
                        </pic:spPr>
                      </pic:pic>
                    </a:graphicData>
                  </a:graphic>
                  <wp14:sizeRelH relativeFrom="page">
                    <wp14:pctWidth>0</wp14:pctWidth>
                  </wp14:sizeRelH>
                  <wp14:sizeRelV relativeFrom="page">
                    <wp14:pctHeight>0</wp14:pctHeight>
                  </wp14:sizeRelV>
                </wp:anchor>
              </w:drawing>
            </w:r>
          </w:p>
        </w:tc>
      </w:tr>
      <w:tr w:rsidR="00571C25" w14:paraId="663326DE" w14:textId="4F0E37E1" w:rsidTr="00863EAD">
        <w:tc>
          <w:tcPr>
            <w:tcW w:w="2958" w:type="dxa"/>
          </w:tcPr>
          <w:p w14:paraId="73D8FB72" w14:textId="1182B041" w:rsidR="0050064F" w:rsidRDefault="00927E20" w:rsidP="00C833FB">
            <w:pPr>
              <w:rPr>
                <w:rFonts w:ascii="Arial" w:hAnsi="Arial" w:cs="Arial"/>
              </w:rPr>
            </w:pPr>
            <w:r w:rsidRPr="00927E20">
              <w:rPr>
                <w:rFonts w:ascii="Arial" w:hAnsi="Arial" w:cs="Arial"/>
              </w:rPr>
              <w:t>Figure 1: Outline of the full-body phantom with the modelled vessels (black) and a sub-set of the organ compartments visualized (dark grey, yellow and red). </w:t>
            </w:r>
          </w:p>
        </w:tc>
        <w:tc>
          <w:tcPr>
            <w:tcW w:w="7832" w:type="dxa"/>
          </w:tcPr>
          <w:p w14:paraId="6F828B9A" w14:textId="15FB6611" w:rsidR="0050064F" w:rsidRDefault="00927E20" w:rsidP="00C833FB">
            <w:pPr>
              <w:rPr>
                <w:rFonts w:ascii="Arial" w:hAnsi="Arial" w:cs="Arial"/>
              </w:rPr>
            </w:pPr>
            <w:r w:rsidRPr="00927E20">
              <w:rPr>
                <w:rFonts w:ascii="Arial" w:hAnsi="Arial" w:cs="Arial"/>
              </w:rPr>
              <w:t>Figure 2: Transition diagram for the blood flow model. Solid lines (red) are arterial flow and dashed lines (blue) are venous. The thick boxes represent one-dimensional vessels, and the thin boxes represent zero-dimensional compartments.</w:t>
            </w:r>
          </w:p>
        </w:tc>
      </w:tr>
      <w:tr w:rsidR="00571C25" w14:paraId="38BE4597" w14:textId="77777777" w:rsidTr="00A55F73">
        <w:tc>
          <w:tcPr>
            <w:tcW w:w="2958" w:type="dxa"/>
          </w:tcPr>
          <w:p w14:paraId="67645683" w14:textId="64BE6149" w:rsidR="00571C25" w:rsidRDefault="00927E20" w:rsidP="00C833FB">
            <w:pPr>
              <w:rPr>
                <w:rFonts w:ascii="Arial" w:hAnsi="Arial" w:cs="Arial"/>
              </w:rPr>
            </w:pPr>
            <w:r w:rsidRPr="00927E20">
              <w:rPr>
                <w:rFonts w:ascii="Arial" w:hAnsi="Arial" w:cs="Arial"/>
              </w:rPr>
              <w:t>Figure 3: The mean return time (i.e. the time it takes a blood volume to fully cycle through the circulatory system and return to its starting compartment), of our blood flow simulation in comparison to another dosimetry focused blood flow model from Shin et al. [1]. </w:t>
            </w:r>
          </w:p>
        </w:tc>
        <w:tc>
          <w:tcPr>
            <w:tcW w:w="7832" w:type="dxa"/>
            <w:vAlign w:val="center"/>
          </w:tcPr>
          <w:p w14:paraId="0F57DCCC" w14:textId="76FFFD9F" w:rsidR="00571C25" w:rsidRDefault="00571C25" w:rsidP="00A55F73">
            <w:pPr>
              <w:jc w:val="center"/>
              <w:rPr>
                <w:rFonts w:ascii="Arial" w:hAnsi="Arial" w:cs="Arial"/>
              </w:rPr>
            </w:pPr>
            <w:r w:rsidRPr="00571C25">
              <w:rPr>
                <w:rFonts w:ascii="Arial" w:hAnsi="Arial" w:cs="Arial"/>
                <w:noProof/>
              </w:rPr>
              <w:drawing>
                <wp:anchor distT="0" distB="0" distL="114300" distR="114300" simplePos="0" relativeHeight="251659264" behindDoc="1" locked="0" layoutInCell="1" allowOverlap="1" wp14:anchorId="55B1BC97" wp14:editId="0BE25C89">
                  <wp:simplePos x="0" y="0"/>
                  <wp:positionH relativeFrom="column">
                    <wp:posOffset>-1005205</wp:posOffset>
                  </wp:positionH>
                  <wp:positionV relativeFrom="paragraph">
                    <wp:posOffset>-61595</wp:posOffset>
                  </wp:positionV>
                  <wp:extent cx="3147060" cy="2482850"/>
                  <wp:effectExtent l="0" t="0" r="0" b="0"/>
                  <wp:wrapSquare wrapText="bothSides"/>
                  <wp:docPr id="1364310892" name="Picture 4" descr="A graph of the different types of organs&#10;&#10;AI-generated content may be incorrect.">
                    <a:extLst xmlns:a="http://schemas.openxmlformats.org/drawingml/2006/main">
                      <a:ext uri="{FF2B5EF4-FFF2-40B4-BE49-F238E27FC236}">
                        <a16:creationId xmlns:a16="http://schemas.microsoft.com/office/drawing/2014/main" id="{D252DDAA-922E-4ABC-6812-CC24F5F69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the different types of organs&#10;&#10;AI-generated content may be incorrect.">
                            <a:extLst>
                              <a:ext uri="{FF2B5EF4-FFF2-40B4-BE49-F238E27FC236}">
                                <a16:creationId xmlns:a16="http://schemas.microsoft.com/office/drawing/2014/main" id="{D252DDAA-922E-4ABC-6812-CC24F5F6947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7060" cy="2482850"/>
                          </a:xfrm>
                          <a:prstGeom prst="rect">
                            <a:avLst/>
                          </a:prstGeom>
                        </pic:spPr>
                      </pic:pic>
                    </a:graphicData>
                  </a:graphic>
                  <wp14:sizeRelH relativeFrom="margin">
                    <wp14:pctWidth>0</wp14:pctWidth>
                  </wp14:sizeRelH>
                  <wp14:sizeRelV relativeFrom="margin">
                    <wp14:pctHeight>0</wp14:pctHeight>
                  </wp14:sizeRelV>
                </wp:anchor>
              </w:drawing>
            </w:r>
          </w:p>
        </w:tc>
      </w:tr>
    </w:tbl>
    <w:p w14:paraId="57434CB6" w14:textId="77777777" w:rsidR="00D96BD0" w:rsidRDefault="00D96BD0" w:rsidP="00571C25"/>
    <w:tbl>
      <w:tblPr>
        <w:tblStyle w:val="TableGrid"/>
        <w:tblW w:w="0" w:type="auto"/>
        <w:tblLook w:val="04A0" w:firstRow="1" w:lastRow="0" w:firstColumn="1" w:lastColumn="0" w:noHBand="0" w:noVBand="1"/>
      </w:tblPr>
      <w:tblGrid>
        <w:gridCol w:w="6302"/>
        <w:gridCol w:w="4488"/>
      </w:tblGrid>
      <w:tr w:rsidR="0042031E" w14:paraId="3B3CC5BE" w14:textId="77777777" w:rsidTr="007609BF">
        <w:tc>
          <w:tcPr>
            <w:tcW w:w="6302" w:type="dxa"/>
            <w:vAlign w:val="center"/>
          </w:tcPr>
          <w:p w14:paraId="764A01E4" w14:textId="64B58548" w:rsidR="00D96BD0" w:rsidRDefault="0042031E" w:rsidP="00A55F73">
            <w:pPr>
              <w:jc w:val="center"/>
            </w:pPr>
            <w:r w:rsidRPr="0042031E">
              <w:rPr>
                <w:noProof/>
              </w:rPr>
              <w:drawing>
                <wp:inline distT="0" distB="0" distL="0" distR="0" wp14:anchorId="22C71597" wp14:editId="027B70A8">
                  <wp:extent cx="3959149" cy="2583711"/>
                  <wp:effectExtent l="0" t="0" r="3810" b="7620"/>
                  <wp:docPr id="11765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23592" name=""/>
                          <pic:cNvPicPr/>
                        </pic:nvPicPr>
                        <pic:blipFill>
                          <a:blip r:embed="rId10"/>
                          <a:stretch>
                            <a:fillRect/>
                          </a:stretch>
                        </pic:blipFill>
                        <pic:spPr>
                          <a:xfrm>
                            <a:off x="0" y="0"/>
                            <a:ext cx="3995873" cy="2607677"/>
                          </a:xfrm>
                          <a:prstGeom prst="rect">
                            <a:avLst/>
                          </a:prstGeom>
                        </pic:spPr>
                      </pic:pic>
                    </a:graphicData>
                  </a:graphic>
                </wp:inline>
              </w:drawing>
            </w:r>
          </w:p>
        </w:tc>
        <w:tc>
          <w:tcPr>
            <w:tcW w:w="4488" w:type="dxa"/>
            <w:vAlign w:val="center"/>
          </w:tcPr>
          <w:p w14:paraId="1037797F" w14:textId="33CBE32B" w:rsidR="00D96BD0" w:rsidRDefault="00941A2E" w:rsidP="00A55F73">
            <w:pPr>
              <w:jc w:val="center"/>
            </w:pPr>
            <w:r w:rsidRPr="00941A2E">
              <w:rPr>
                <w:noProof/>
              </w:rPr>
              <w:drawing>
                <wp:inline distT="0" distB="0" distL="0" distR="0" wp14:anchorId="2FD6C023" wp14:editId="262720A1">
                  <wp:extent cx="2775508" cy="3413051"/>
                  <wp:effectExtent l="0" t="0" r="6350" b="0"/>
                  <wp:docPr id="18776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76998" name=""/>
                          <pic:cNvPicPr/>
                        </pic:nvPicPr>
                        <pic:blipFill>
                          <a:blip r:embed="rId11"/>
                          <a:stretch>
                            <a:fillRect/>
                          </a:stretch>
                        </pic:blipFill>
                        <pic:spPr>
                          <a:xfrm>
                            <a:off x="0" y="0"/>
                            <a:ext cx="2785865" cy="3425787"/>
                          </a:xfrm>
                          <a:prstGeom prst="rect">
                            <a:avLst/>
                          </a:prstGeom>
                        </pic:spPr>
                      </pic:pic>
                    </a:graphicData>
                  </a:graphic>
                </wp:inline>
              </w:drawing>
            </w:r>
          </w:p>
        </w:tc>
      </w:tr>
      <w:tr w:rsidR="00941A2E" w14:paraId="77CEAFD8" w14:textId="77777777" w:rsidTr="007609BF">
        <w:tc>
          <w:tcPr>
            <w:tcW w:w="6302" w:type="dxa"/>
          </w:tcPr>
          <w:p w14:paraId="257AE43D" w14:textId="78675629" w:rsidR="00D96BD0" w:rsidRPr="00927E20" w:rsidRDefault="00A55F73" w:rsidP="00571C25">
            <w:pPr>
              <w:rPr>
                <w:rFonts w:ascii="Arial" w:hAnsi="Arial" w:cs="Arial"/>
              </w:rPr>
            </w:pPr>
            <w:r w:rsidRPr="00927E20">
              <w:rPr>
                <w:rFonts w:ascii="Arial" w:hAnsi="Arial" w:cs="Arial"/>
              </w:rPr>
              <w:t>Figure 4: Diagram</w:t>
            </w:r>
            <w:r w:rsidR="00F5618B" w:rsidRPr="00927E20">
              <w:rPr>
                <w:rFonts w:ascii="Arial" w:hAnsi="Arial" w:cs="Arial"/>
              </w:rPr>
              <w:t>s</w:t>
            </w:r>
            <w:r w:rsidRPr="00927E20">
              <w:rPr>
                <w:rFonts w:ascii="Arial" w:hAnsi="Arial" w:cs="Arial"/>
              </w:rPr>
              <w:t xml:space="preserve"> explaining how dose to </w:t>
            </w:r>
            <w:r w:rsidR="00F5618B" w:rsidRPr="00927E20">
              <w:rPr>
                <w:rFonts w:ascii="Arial" w:hAnsi="Arial" w:cs="Arial"/>
              </w:rPr>
              <w:t>blood volume</w:t>
            </w:r>
            <w:r w:rsidRPr="00927E20">
              <w:rPr>
                <w:rFonts w:ascii="Arial" w:hAnsi="Arial" w:cs="Arial"/>
              </w:rPr>
              <w:t>s</w:t>
            </w:r>
            <w:r w:rsidR="00F5618B" w:rsidRPr="00927E20">
              <w:rPr>
                <w:rFonts w:ascii="Arial" w:hAnsi="Arial" w:cs="Arial"/>
              </w:rPr>
              <w:t xml:space="preserve"> (BV)</w:t>
            </w:r>
            <w:r w:rsidR="009B4D0F" w:rsidRPr="00927E20">
              <w:rPr>
                <w:rFonts w:ascii="Arial" w:hAnsi="Arial" w:cs="Arial"/>
              </w:rPr>
              <w:t xml:space="preserve"> in vessels</w:t>
            </w:r>
            <w:r w:rsidR="00F5618B" w:rsidRPr="00927E20">
              <w:rPr>
                <w:rFonts w:ascii="Arial" w:hAnsi="Arial" w:cs="Arial"/>
              </w:rPr>
              <w:t xml:space="preserve"> are</w:t>
            </w:r>
            <w:r w:rsidRPr="00927E20">
              <w:rPr>
                <w:rFonts w:ascii="Arial" w:hAnsi="Arial" w:cs="Arial"/>
              </w:rPr>
              <w:t xml:space="preserve"> calculated over a time step (</w:t>
            </w:r>
            <w:r w:rsidRPr="00927E20">
              <w:rPr>
                <w:rFonts w:ascii="Arial" w:hAnsi="Arial" w:cs="Arial"/>
                <w:b/>
                <w:bCs/>
              </w:rPr>
              <w:t>Δ</w:t>
            </w:r>
            <w:r w:rsidRPr="00927E20">
              <w:rPr>
                <w:rFonts w:ascii="Arial" w:hAnsi="Arial" w:cs="Arial"/>
                <w:b/>
                <w:bCs/>
                <w:i/>
                <w:iCs/>
              </w:rPr>
              <w:t>t</w:t>
            </w:r>
            <w:r w:rsidRPr="00927E20">
              <w:rPr>
                <w:rFonts w:ascii="Arial" w:hAnsi="Arial" w:cs="Arial"/>
                <w:i/>
                <w:iCs/>
              </w:rPr>
              <w:t>).</w:t>
            </w:r>
            <w:r w:rsidR="00F5618B" w:rsidRPr="00927E20">
              <w:rPr>
                <w:rFonts w:ascii="Arial" w:hAnsi="Arial" w:cs="Arial"/>
              </w:rPr>
              <w:t xml:space="preserve"> (</w:t>
            </w:r>
            <w:r w:rsidR="0042031E" w:rsidRPr="00927E20">
              <w:rPr>
                <w:rFonts w:ascii="Arial" w:hAnsi="Arial" w:cs="Arial"/>
              </w:rPr>
              <w:t>A</w:t>
            </w:r>
            <w:r w:rsidR="00F5618B" w:rsidRPr="00927E20">
              <w:rPr>
                <w:rFonts w:ascii="Arial" w:hAnsi="Arial" w:cs="Arial"/>
              </w:rPr>
              <w:t>) A BV’s current position (</w:t>
            </w:r>
            <m:oMath>
              <m:sSub>
                <m:sSubPr>
                  <m:ctrlPr>
                    <w:rPr>
                      <w:rFonts w:ascii="Cambria Math" w:hAnsi="Cambria Math" w:cs="Arial"/>
                      <w:b/>
                      <w:bCs/>
                      <w:i/>
                    </w:rPr>
                  </m:ctrlPr>
                </m:sSubPr>
                <m:e>
                  <m:r>
                    <m:rPr>
                      <m:sty m:val="bi"/>
                    </m:rPr>
                    <w:rPr>
                      <w:rFonts w:ascii="Cambria Math" w:hAnsi="Cambria Math" w:cs="Arial"/>
                    </w:rPr>
                    <m:t>x</m:t>
                  </m:r>
                </m:e>
                <m:sub>
                  <m:r>
                    <m:rPr>
                      <m:sty m:val="bi"/>
                    </m:rPr>
                    <w:rPr>
                      <w:rFonts w:ascii="Cambria Math" w:hAnsi="Cambria Math" w:cs="Arial"/>
                    </w:rPr>
                    <m:t>i</m:t>
                  </m:r>
                </m:sub>
              </m:sSub>
            </m:oMath>
            <w:r w:rsidR="00F5618B" w:rsidRPr="00927E20">
              <w:rPr>
                <w:rFonts w:ascii="Arial" w:hAnsi="Arial" w:cs="Arial"/>
              </w:rPr>
              <w:t>) and the current time (</w:t>
            </w:r>
            <m:oMath>
              <m:sSub>
                <m:sSubPr>
                  <m:ctrlPr>
                    <w:rPr>
                      <w:rFonts w:ascii="Cambria Math" w:hAnsi="Cambria Math" w:cs="Arial"/>
                      <w:b/>
                      <w:bCs/>
                      <w:i/>
                    </w:rPr>
                  </m:ctrlPr>
                </m:sSubPr>
                <m:e>
                  <m:r>
                    <m:rPr>
                      <m:sty m:val="bi"/>
                    </m:rPr>
                    <w:rPr>
                      <w:rFonts w:ascii="Cambria Math" w:hAnsi="Cambria Math" w:cs="Arial"/>
                    </w:rPr>
                    <m:t>t</m:t>
                  </m:r>
                </m:e>
                <m:sub>
                  <m:r>
                    <m:rPr>
                      <m:sty m:val="bi"/>
                    </m:rPr>
                    <w:rPr>
                      <w:rFonts w:ascii="Cambria Math" w:hAnsi="Cambria Math" w:cs="Arial"/>
                    </w:rPr>
                    <m:t>i</m:t>
                  </m:r>
                </m:sub>
              </m:sSub>
            </m:oMath>
            <w:r w:rsidR="00F5618B" w:rsidRPr="00927E20">
              <w:rPr>
                <w:rFonts w:ascii="Arial" w:hAnsi="Arial" w:cs="Arial"/>
              </w:rPr>
              <w:t>) is used to query the flow velocity</w:t>
            </w:r>
            <w:r w:rsidR="0042031E" w:rsidRPr="00927E20">
              <w:rPr>
                <w:rFonts w:ascii="Arial" w:hAnsi="Arial" w:cs="Arial"/>
              </w:rPr>
              <w:t>,</w:t>
            </w:r>
            <w:r w:rsidR="00F5618B" w:rsidRPr="00927E20">
              <w:rPr>
                <w:rFonts w:ascii="Arial" w:hAnsi="Arial" w:cs="Arial"/>
              </w:rPr>
              <w:t xml:space="preserve"> (</w:t>
            </w:r>
            <w:r w:rsidR="0042031E" w:rsidRPr="00927E20">
              <w:rPr>
                <w:rFonts w:ascii="Arial" w:hAnsi="Arial" w:cs="Arial"/>
              </w:rPr>
              <w:t>B</w:t>
            </w:r>
            <w:r w:rsidR="00F5618B" w:rsidRPr="00927E20">
              <w:rPr>
                <w:rFonts w:ascii="Arial" w:hAnsi="Arial" w:cs="Arial"/>
              </w:rPr>
              <w:t>)</w:t>
            </w:r>
            <w:r w:rsidR="0042031E" w:rsidRPr="00927E20">
              <w:rPr>
                <w:rFonts w:ascii="Arial" w:hAnsi="Arial" w:cs="Arial"/>
              </w:rPr>
              <w:t>,</w:t>
            </w:r>
            <w:r w:rsidR="00F5618B" w:rsidRPr="00927E20">
              <w:rPr>
                <w:rFonts w:ascii="Arial" w:hAnsi="Arial" w:cs="Arial"/>
              </w:rPr>
              <w:t xml:space="preserve"> and determine the instantaneous velocity (</w:t>
            </w:r>
            <m:oMath>
              <m:r>
                <m:rPr>
                  <m:sty m:val="bi"/>
                </m:rPr>
                <w:rPr>
                  <w:rFonts w:ascii="Cambria Math" w:hAnsi="Cambria Math" w:cs="Arial"/>
                </w:rPr>
                <m:t>v</m:t>
              </m:r>
              <m:d>
                <m:dPr>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t</m:t>
                      </m:r>
                    </m:e>
                    <m:sub>
                      <m:r>
                        <m:rPr>
                          <m:sty m:val="bi"/>
                        </m:rPr>
                        <w:rPr>
                          <w:rFonts w:ascii="Cambria Math" w:hAnsi="Cambria Math" w:cs="Arial"/>
                        </w:rPr>
                        <m:t>i</m:t>
                      </m:r>
                    </m:sub>
                  </m:sSub>
                </m:e>
              </m:d>
              <m:r>
                <m:rPr>
                  <m:sty m:val="bi"/>
                </m:rPr>
                <w:rPr>
                  <w:rFonts w:ascii="Cambria Math" w:hAnsi="Cambria Math" w:cs="Arial"/>
                </w:rPr>
                <m:t>)</m:t>
              </m:r>
            </m:oMath>
            <w:r w:rsidR="00F5618B" w:rsidRPr="00927E20">
              <w:rPr>
                <w:rFonts w:ascii="Arial" w:eastAsiaTheme="minorEastAsia" w:hAnsi="Arial" w:cs="Arial"/>
              </w:rPr>
              <w:t xml:space="preserve"> and thus the BVs change in position (</w:t>
            </w:r>
            <m:oMath>
              <m:r>
                <m:rPr>
                  <m:sty m:val="bi"/>
                </m:rPr>
                <w:rPr>
                  <w:rFonts w:ascii="Cambria Math" w:eastAsiaTheme="minorEastAsia" w:hAnsi="Cambria Math" w:cs="Arial"/>
                </w:rPr>
                <m:t>∆x</m:t>
              </m:r>
            </m:oMath>
            <w:r w:rsidR="00F5618B" w:rsidRPr="00927E20">
              <w:rPr>
                <w:rFonts w:ascii="Arial" w:eastAsiaTheme="minorEastAsia" w:hAnsi="Arial" w:cs="Arial"/>
              </w:rPr>
              <w:t>). (</w:t>
            </w:r>
            <w:r w:rsidR="0042031E" w:rsidRPr="00927E20">
              <w:rPr>
                <w:rFonts w:ascii="Arial" w:eastAsiaTheme="minorEastAsia" w:hAnsi="Arial" w:cs="Arial"/>
              </w:rPr>
              <w:t>C</w:t>
            </w:r>
            <w:r w:rsidR="00F5618B" w:rsidRPr="00927E20">
              <w:rPr>
                <w:rFonts w:ascii="Arial" w:eastAsiaTheme="minorEastAsia" w:hAnsi="Arial" w:cs="Arial"/>
              </w:rPr>
              <w:t>) The new BV position (</w:t>
            </w:r>
            <m:oMath>
              <m:sSub>
                <m:sSubPr>
                  <m:ctrlPr>
                    <w:rPr>
                      <w:rFonts w:ascii="Cambria Math" w:eastAsiaTheme="minorEastAsia" w:hAnsi="Cambria Math" w:cs="Arial"/>
                      <w:b/>
                      <w:bCs/>
                      <w:i/>
                    </w:rPr>
                  </m:ctrlPr>
                </m:sSubPr>
                <m:e>
                  <m:r>
                    <m:rPr>
                      <m:sty m:val="bi"/>
                    </m:rPr>
                    <w:rPr>
                      <w:rFonts w:ascii="Cambria Math" w:eastAsiaTheme="minorEastAsia" w:hAnsi="Cambria Math" w:cs="Arial"/>
                    </w:rPr>
                    <m:t>x</m:t>
                  </m:r>
                </m:e>
                <m:sub>
                  <m:r>
                    <m:rPr>
                      <m:sty m:val="bi"/>
                    </m:rPr>
                    <w:rPr>
                      <w:rFonts w:ascii="Cambria Math" w:eastAsiaTheme="minorEastAsia" w:hAnsi="Cambria Math" w:cs="Arial"/>
                    </w:rPr>
                    <m:t>f</m:t>
                  </m:r>
                </m:sub>
              </m:sSub>
            </m:oMath>
            <w:r w:rsidR="00F5618B" w:rsidRPr="00927E20">
              <w:rPr>
                <w:rFonts w:ascii="Arial" w:eastAsiaTheme="minorEastAsia" w:hAnsi="Arial" w:cs="Arial"/>
              </w:rPr>
              <w:t>) and current time is used to query the four-dimensional dose data to determine the dose to the BV</w:t>
            </w:r>
            <w:r w:rsidR="0042031E" w:rsidRPr="00927E20">
              <w:rPr>
                <w:rFonts w:ascii="Arial" w:eastAsiaTheme="minorEastAsia" w:hAnsi="Arial" w:cs="Arial"/>
              </w:rPr>
              <w:t xml:space="preserve"> (</w:t>
            </w:r>
            <w:r w:rsidR="0042031E" w:rsidRPr="00927E20">
              <w:rPr>
                <w:rFonts w:ascii="Arial" w:eastAsiaTheme="minorEastAsia" w:hAnsi="Arial" w:cs="Arial"/>
                <w:b/>
                <w:bCs/>
                <w:i/>
                <w:iCs/>
              </w:rPr>
              <w:t>d</w:t>
            </w:r>
            <w:r w:rsidR="0042031E" w:rsidRPr="00927E20">
              <w:rPr>
                <w:rFonts w:ascii="Arial" w:eastAsiaTheme="minorEastAsia" w:hAnsi="Arial" w:cs="Arial"/>
              </w:rPr>
              <w:t>). (D) Dose is calculated using the queried dose data, time step size and a</w:t>
            </w:r>
            <w:r w:rsidR="00927E20">
              <w:rPr>
                <w:rFonts w:ascii="Arial" w:eastAsiaTheme="minorEastAsia" w:hAnsi="Arial" w:cs="Arial"/>
              </w:rPr>
              <w:t>n</w:t>
            </w:r>
            <w:r w:rsidR="0042031E" w:rsidRPr="00927E20">
              <w:rPr>
                <w:rFonts w:ascii="Arial" w:eastAsiaTheme="minorEastAsia" w:hAnsi="Arial" w:cs="Arial"/>
              </w:rPr>
              <w:t xml:space="preserve"> absolute dosimetry conversion factor. </w:t>
            </w:r>
          </w:p>
        </w:tc>
        <w:tc>
          <w:tcPr>
            <w:tcW w:w="4488" w:type="dxa"/>
          </w:tcPr>
          <w:p w14:paraId="7692C64F" w14:textId="6B4DC19D" w:rsidR="00D96BD0" w:rsidRPr="00927E20" w:rsidRDefault="009B4D0F" w:rsidP="00571C25">
            <w:pPr>
              <w:rPr>
                <w:rFonts w:ascii="Arial" w:hAnsi="Arial" w:cs="Arial"/>
              </w:rPr>
            </w:pPr>
            <w:r w:rsidRPr="00927E20">
              <w:rPr>
                <w:rFonts w:ascii="Arial" w:hAnsi="Arial" w:cs="Arial"/>
              </w:rPr>
              <w:t>Figure 5: Diagrams explain how dose to blood volumes (BVs) in compartments are calculated over a time step (</w:t>
            </w:r>
            <w:r w:rsidRPr="00927E20">
              <w:rPr>
                <w:rFonts w:ascii="Arial" w:hAnsi="Arial" w:cs="Arial"/>
                <w:b/>
                <w:bCs/>
              </w:rPr>
              <w:t>Δ</w:t>
            </w:r>
            <w:r w:rsidRPr="00927E20">
              <w:rPr>
                <w:rFonts w:ascii="Arial" w:hAnsi="Arial" w:cs="Arial"/>
                <w:b/>
                <w:bCs/>
                <w:i/>
                <w:iCs/>
              </w:rPr>
              <w:t>t</w:t>
            </w:r>
            <w:r w:rsidR="00941A2E" w:rsidRPr="00927E20">
              <w:rPr>
                <w:rFonts w:ascii="Arial" w:hAnsi="Arial" w:cs="Arial"/>
              </w:rPr>
              <w:t>).</w:t>
            </w:r>
            <w:r w:rsidRPr="00927E20">
              <w:rPr>
                <w:rFonts w:ascii="Arial" w:hAnsi="Arial" w:cs="Arial"/>
              </w:rPr>
              <w:t xml:space="preserve"> (</w:t>
            </w:r>
            <w:r w:rsidR="00941A2E" w:rsidRPr="00927E20">
              <w:rPr>
                <w:rFonts w:ascii="Arial" w:hAnsi="Arial" w:cs="Arial"/>
              </w:rPr>
              <w:t>A</w:t>
            </w:r>
            <w:r w:rsidRPr="00927E20">
              <w:rPr>
                <w:rFonts w:ascii="Arial" w:hAnsi="Arial" w:cs="Arial"/>
              </w:rPr>
              <w:t xml:space="preserve">) </w:t>
            </w:r>
            <w:r w:rsidR="0042031E" w:rsidRPr="00927E20">
              <w:rPr>
                <w:rFonts w:ascii="Arial" w:hAnsi="Arial" w:cs="Arial"/>
              </w:rPr>
              <w:t>The energy deposition rate (</w:t>
            </w:r>
            <w:r w:rsidR="0042031E" w:rsidRPr="00927E20">
              <w:rPr>
                <w:rFonts w:ascii="Arial" w:hAnsi="Arial" w:cs="Arial"/>
                <w:b/>
                <w:bCs/>
              </w:rPr>
              <w:t>ER(</w:t>
            </w:r>
            <w:r w:rsidR="0042031E" w:rsidRPr="00927E20">
              <w:rPr>
                <w:rFonts w:ascii="Arial" w:hAnsi="Arial" w:cs="Arial"/>
                <w:b/>
                <w:bCs/>
                <w:i/>
                <w:iCs/>
              </w:rPr>
              <w:t>t</w:t>
            </w:r>
            <w:r w:rsidR="0042031E" w:rsidRPr="00927E20">
              <w:rPr>
                <w:rFonts w:ascii="Arial" w:hAnsi="Arial" w:cs="Arial"/>
                <w:b/>
                <w:bCs/>
              </w:rPr>
              <w:t>)</w:t>
            </w:r>
            <w:r w:rsidR="0042031E" w:rsidRPr="00927E20">
              <w:rPr>
                <w:rFonts w:ascii="Arial" w:hAnsi="Arial" w:cs="Arial"/>
              </w:rPr>
              <w:t>) within the compartment is sampled at the current time (</w:t>
            </w:r>
            <w:r w:rsidR="0042031E" w:rsidRPr="00927E20">
              <w:rPr>
                <w:rFonts w:ascii="Arial" w:hAnsi="Arial" w:cs="Arial"/>
                <w:b/>
                <w:bCs/>
                <w:i/>
                <w:iCs/>
              </w:rPr>
              <w:t>t</w:t>
            </w:r>
            <w:r w:rsidR="0042031E" w:rsidRPr="00927E20">
              <w:rPr>
                <w:rFonts w:ascii="Arial" w:hAnsi="Arial" w:cs="Arial"/>
              </w:rPr>
              <w:t>). (</w:t>
            </w:r>
            <w:r w:rsidR="00941A2E" w:rsidRPr="00927E20">
              <w:rPr>
                <w:rFonts w:ascii="Arial" w:hAnsi="Arial" w:cs="Arial"/>
              </w:rPr>
              <w:t>B</w:t>
            </w:r>
            <w:r w:rsidR="0042031E" w:rsidRPr="00927E20">
              <w:rPr>
                <w:rFonts w:ascii="Arial" w:hAnsi="Arial" w:cs="Arial"/>
              </w:rPr>
              <w:t xml:space="preserve">) The dose </w:t>
            </w:r>
            <w:r w:rsidR="00941A2E" w:rsidRPr="00927E20">
              <w:rPr>
                <w:rFonts w:ascii="Arial" w:hAnsi="Arial" w:cs="Arial"/>
              </w:rPr>
              <w:t xml:space="preserve">value </w:t>
            </w:r>
            <w:r w:rsidR="0042031E" w:rsidRPr="00927E20">
              <w:rPr>
                <w:rFonts w:ascii="Arial" w:hAnsi="Arial" w:cs="Arial"/>
              </w:rPr>
              <w:t>(</w:t>
            </w:r>
            <w:r w:rsidR="0042031E" w:rsidRPr="00927E20">
              <w:rPr>
                <w:rFonts w:ascii="Arial" w:hAnsi="Arial" w:cs="Arial"/>
                <w:b/>
                <w:bCs/>
                <w:i/>
                <w:iCs/>
              </w:rPr>
              <w:t>D</w:t>
            </w:r>
            <w:r w:rsidR="0042031E" w:rsidRPr="00927E20">
              <w:rPr>
                <w:rFonts w:ascii="Arial" w:hAnsi="Arial" w:cs="Arial"/>
              </w:rPr>
              <w:t>) is randomly sampled from the dose volume histogram</w:t>
            </w:r>
            <w:r w:rsidR="00941A2E" w:rsidRPr="00927E20">
              <w:rPr>
                <w:rFonts w:ascii="Arial" w:hAnsi="Arial" w:cs="Arial"/>
              </w:rPr>
              <w:t>. (C) Dose is calculated by determining the instantaneous dose rate and multiplying by the time step.</w:t>
            </w:r>
          </w:p>
        </w:tc>
      </w:tr>
      <w:tr w:rsidR="007609BF" w14:paraId="2617E532" w14:textId="77777777" w:rsidTr="00C85DC7">
        <w:tc>
          <w:tcPr>
            <w:tcW w:w="10790" w:type="dxa"/>
            <w:gridSpan w:val="2"/>
          </w:tcPr>
          <w:p w14:paraId="5FC1BA60" w14:textId="15ABE013" w:rsidR="007609BF" w:rsidRDefault="00927E20" w:rsidP="00E622AB">
            <w:pPr>
              <w:jc w:val="center"/>
            </w:pPr>
            <w:r>
              <w:rPr>
                <w:noProof/>
              </w:rPr>
              <w:drawing>
                <wp:inline distT="0" distB="0" distL="0" distR="0" wp14:anchorId="358D15AA" wp14:editId="6ECF858F">
                  <wp:extent cx="6556249" cy="2413590"/>
                  <wp:effectExtent l="0" t="0" r="0" b="6350"/>
                  <wp:docPr id="16855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6416" cy="2443102"/>
                          </a:xfrm>
                          <a:prstGeom prst="rect">
                            <a:avLst/>
                          </a:prstGeom>
                          <a:noFill/>
                          <a:ln>
                            <a:noFill/>
                          </a:ln>
                        </pic:spPr>
                      </pic:pic>
                    </a:graphicData>
                  </a:graphic>
                </wp:inline>
              </w:drawing>
            </w:r>
          </w:p>
        </w:tc>
      </w:tr>
      <w:tr w:rsidR="007609BF" w14:paraId="5AB38A3F" w14:textId="77777777" w:rsidTr="000C5322">
        <w:tc>
          <w:tcPr>
            <w:tcW w:w="10790" w:type="dxa"/>
            <w:gridSpan w:val="2"/>
          </w:tcPr>
          <w:p w14:paraId="6CCEF5AB" w14:textId="6A044CED" w:rsidR="007609BF" w:rsidRPr="00927E20" w:rsidRDefault="00927E20" w:rsidP="00571C25">
            <w:pPr>
              <w:rPr>
                <w:rFonts w:ascii="Arial" w:hAnsi="Arial" w:cs="Arial"/>
              </w:rPr>
            </w:pPr>
            <w:r w:rsidRPr="00927E20">
              <w:rPr>
                <w:rFonts w:ascii="Arial" w:hAnsi="Arial" w:cs="Arial"/>
              </w:rPr>
              <w:t>Figure 6: Histograms of the (A) dose to circulating blood volume for a single fraction (B) and the entire treatment p</w:t>
            </w:r>
            <w:r w:rsidRPr="00927E20">
              <w:rPr>
                <w:rFonts w:ascii="Arial" w:hAnsi="Arial" w:cs="Arial"/>
              </w:rPr>
              <w:t>lan.</w:t>
            </w:r>
            <w:r w:rsidRPr="00927E20">
              <w:rPr>
                <w:rFonts w:ascii="Arial" w:hAnsi="Arial" w:cs="Arial"/>
              </w:rPr>
              <w:t> </w:t>
            </w:r>
          </w:p>
        </w:tc>
      </w:tr>
    </w:tbl>
    <w:p w14:paraId="48248F6C" w14:textId="562B5406" w:rsidR="00571C25" w:rsidRPr="00571C25" w:rsidRDefault="00571C25" w:rsidP="00571C25">
      <w:r>
        <w:t xml:space="preserve">[1] </w:t>
      </w:r>
      <w:r w:rsidRPr="00571C25">
        <w:t xml:space="preserve">Shin J, Xing S, McCullum L, et al. HEDOS—a computational tool to assess radiation dose to circulating blood cells during external beam radiotherapy based on whole-body blood flow simulations. </w:t>
      </w:r>
      <w:r w:rsidRPr="00571C25">
        <w:rPr>
          <w:i/>
          <w:iCs/>
        </w:rPr>
        <w:t>Phys Med Biol</w:t>
      </w:r>
      <w:r w:rsidRPr="00571C25">
        <w:t xml:space="preserve">. 2021;66(16):164001 </w:t>
      </w:r>
    </w:p>
    <w:p w14:paraId="2FC78CC8" w14:textId="3D9F07FD" w:rsidR="00CF36F7" w:rsidRPr="00861032" w:rsidRDefault="00CF36F7" w:rsidP="00CF36F7"/>
    <w:p w14:paraId="16C0A851" w14:textId="66AC0095" w:rsidR="00861032" w:rsidRDefault="00861032" w:rsidP="00861032">
      <w:r w:rsidRPr="00861032">
        <w:rPr>
          <w:noProof/>
        </w:rPr>
        <w:lastRenderedPageBreak/>
        <w:drawing>
          <wp:inline distT="0" distB="0" distL="0" distR="0" wp14:anchorId="6F9F5381" wp14:editId="037EA3AC">
            <wp:extent cx="5943600" cy="7647940"/>
            <wp:effectExtent l="0" t="0" r="0" b="0"/>
            <wp:docPr id="885994305"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4305" name="Picture 1" descr="A screenshot of a computer generated image&#10;&#10;AI-generated content may be incorrect."/>
                    <pic:cNvPicPr/>
                  </pic:nvPicPr>
                  <pic:blipFill>
                    <a:blip r:embed="rId13"/>
                    <a:stretch>
                      <a:fillRect/>
                    </a:stretch>
                  </pic:blipFill>
                  <pic:spPr>
                    <a:xfrm>
                      <a:off x="0" y="0"/>
                      <a:ext cx="5943600" cy="7647940"/>
                    </a:xfrm>
                    <a:prstGeom prst="rect">
                      <a:avLst/>
                    </a:prstGeom>
                  </pic:spPr>
                </pic:pic>
              </a:graphicData>
            </a:graphic>
          </wp:inline>
        </w:drawing>
      </w:r>
    </w:p>
    <w:sectPr w:rsidR="00861032" w:rsidSect="00CF36F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F01"/>
    <w:multiLevelType w:val="multilevel"/>
    <w:tmpl w:val="D9F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3237E"/>
    <w:multiLevelType w:val="multilevel"/>
    <w:tmpl w:val="8A9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95783"/>
    <w:multiLevelType w:val="multilevel"/>
    <w:tmpl w:val="047C5D5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13651F"/>
    <w:multiLevelType w:val="multilevel"/>
    <w:tmpl w:val="656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A25FA7"/>
    <w:multiLevelType w:val="multilevel"/>
    <w:tmpl w:val="A24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95936"/>
    <w:multiLevelType w:val="multilevel"/>
    <w:tmpl w:val="666CA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6AD5"/>
    <w:multiLevelType w:val="multilevel"/>
    <w:tmpl w:val="595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58196C"/>
    <w:multiLevelType w:val="multilevel"/>
    <w:tmpl w:val="ECC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8D0D83"/>
    <w:multiLevelType w:val="multilevel"/>
    <w:tmpl w:val="F7B0A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097300">
    <w:abstractNumId w:val="2"/>
  </w:num>
  <w:num w:numId="2" w16cid:durableId="726611356">
    <w:abstractNumId w:val="6"/>
  </w:num>
  <w:num w:numId="3" w16cid:durableId="1546913951">
    <w:abstractNumId w:val="8"/>
  </w:num>
  <w:num w:numId="4" w16cid:durableId="693456698">
    <w:abstractNumId w:val="1"/>
  </w:num>
  <w:num w:numId="5" w16cid:durableId="2115637903">
    <w:abstractNumId w:val="4"/>
  </w:num>
  <w:num w:numId="6" w16cid:durableId="1548302047">
    <w:abstractNumId w:val="3"/>
  </w:num>
  <w:num w:numId="7" w16cid:durableId="1083912026">
    <w:abstractNumId w:val="5"/>
  </w:num>
  <w:num w:numId="8" w16cid:durableId="2007857457">
    <w:abstractNumId w:val="7"/>
  </w:num>
  <w:num w:numId="9" w16cid:durableId="131984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AB"/>
    <w:rsid w:val="00044151"/>
    <w:rsid w:val="00045E54"/>
    <w:rsid w:val="000C7E37"/>
    <w:rsid w:val="0011069C"/>
    <w:rsid w:val="001366DE"/>
    <w:rsid w:val="00223E0A"/>
    <w:rsid w:val="0025744C"/>
    <w:rsid w:val="002833CF"/>
    <w:rsid w:val="002D32D4"/>
    <w:rsid w:val="003400EA"/>
    <w:rsid w:val="003C6EAB"/>
    <w:rsid w:val="0042031E"/>
    <w:rsid w:val="00454566"/>
    <w:rsid w:val="004854EC"/>
    <w:rsid w:val="004A55D6"/>
    <w:rsid w:val="004B2E7F"/>
    <w:rsid w:val="004C2B1A"/>
    <w:rsid w:val="004D0322"/>
    <w:rsid w:val="0050064F"/>
    <w:rsid w:val="00571C25"/>
    <w:rsid w:val="00577982"/>
    <w:rsid w:val="00577C8C"/>
    <w:rsid w:val="00593EE2"/>
    <w:rsid w:val="005B73A0"/>
    <w:rsid w:val="00611578"/>
    <w:rsid w:val="006248CB"/>
    <w:rsid w:val="006708C2"/>
    <w:rsid w:val="00696A40"/>
    <w:rsid w:val="006F2996"/>
    <w:rsid w:val="006F520B"/>
    <w:rsid w:val="007216DD"/>
    <w:rsid w:val="007609BF"/>
    <w:rsid w:val="0077575B"/>
    <w:rsid w:val="007C57F6"/>
    <w:rsid w:val="007D69A4"/>
    <w:rsid w:val="00861032"/>
    <w:rsid w:val="00863EAD"/>
    <w:rsid w:val="0088085E"/>
    <w:rsid w:val="00927E20"/>
    <w:rsid w:val="00941A2E"/>
    <w:rsid w:val="00985D83"/>
    <w:rsid w:val="00996A16"/>
    <w:rsid w:val="009B4D0F"/>
    <w:rsid w:val="00A22326"/>
    <w:rsid w:val="00A46C2E"/>
    <w:rsid w:val="00A55F73"/>
    <w:rsid w:val="00A811A6"/>
    <w:rsid w:val="00A842BD"/>
    <w:rsid w:val="00A860F9"/>
    <w:rsid w:val="00AA3C25"/>
    <w:rsid w:val="00AC2586"/>
    <w:rsid w:val="00B4072A"/>
    <w:rsid w:val="00BC51F3"/>
    <w:rsid w:val="00C14D7C"/>
    <w:rsid w:val="00C36DB0"/>
    <w:rsid w:val="00C743AB"/>
    <w:rsid w:val="00C833FB"/>
    <w:rsid w:val="00CF36F7"/>
    <w:rsid w:val="00CF5971"/>
    <w:rsid w:val="00D05A60"/>
    <w:rsid w:val="00D125F8"/>
    <w:rsid w:val="00D20A27"/>
    <w:rsid w:val="00D33D8B"/>
    <w:rsid w:val="00D3439E"/>
    <w:rsid w:val="00D918CE"/>
    <w:rsid w:val="00D96BD0"/>
    <w:rsid w:val="00DB4D8B"/>
    <w:rsid w:val="00DF25C8"/>
    <w:rsid w:val="00E2770F"/>
    <w:rsid w:val="00E622AB"/>
    <w:rsid w:val="00EC5061"/>
    <w:rsid w:val="00EC50DE"/>
    <w:rsid w:val="00ED1BFB"/>
    <w:rsid w:val="00F174BE"/>
    <w:rsid w:val="00F5618B"/>
    <w:rsid w:val="00FD65AD"/>
    <w:rsid w:val="00FF02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B9E6"/>
  <w15:chartTrackingRefBased/>
  <w15:docId w15:val="{2DDF383F-CF15-4423-B563-99CBED94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AB"/>
    <w:rPr>
      <w:rFonts w:eastAsiaTheme="majorEastAsia" w:cstheme="majorBidi"/>
      <w:color w:val="272727" w:themeColor="text1" w:themeTint="D8"/>
    </w:rPr>
  </w:style>
  <w:style w:type="paragraph" w:styleId="Title">
    <w:name w:val="Title"/>
    <w:basedOn w:val="Normal"/>
    <w:next w:val="Normal"/>
    <w:link w:val="TitleChar"/>
    <w:uiPriority w:val="10"/>
    <w:qFormat/>
    <w:rsid w:val="00C7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AB"/>
    <w:pPr>
      <w:spacing w:before="160"/>
      <w:jc w:val="center"/>
    </w:pPr>
    <w:rPr>
      <w:i/>
      <w:iCs/>
      <w:color w:val="404040" w:themeColor="text1" w:themeTint="BF"/>
    </w:rPr>
  </w:style>
  <w:style w:type="character" w:customStyle="1" w:styleId="QuoteChar">
    <w:name w:val="Quote Char"/>
    <w:basedOn w:val="DefaultParagraphFont"/>
    <w:link w:val="Quote"/>
    <w:uiPriority w:val="29"/>
    <w:rsid w:val="00C743AB"/>
    <w:rPr>
      <w:i/>
      <w:iCs/>
      <w:color w:val="404040" w:themeColor="text1" w:themeTint="BF"/>
    </w:rPr>
  </w:style>
  <w:style w:type="paragraph" w:styleId="ListParagraph">
    <w:name w:val="List Paragraph"/>
    <w:basedOn w:val="Normal"/>
    <w:uiPriority w:val="34"/>
    <w:qFormat/>
    <w:rsid w:val="00C743AB"/>
    <w:pPr>
      <w:ind w:left="720"/>
      <w:contextualSpacing/>
    </w:pPr>
  </w:style>
  <w:style w:type="character" w:styleId="IntenseEmphasis">
    <w:name w:val="Intense Emphasis"/>
    <w:basedOn w:val="DefaultParagraphFont"/>
    <w:uiPriority w:val="21"/>
    <w:qFormat/>
    <w:rsid w:val="00C743AB"/>
    <w:rPr>
      <w:i/>
      <w:iCs/>
      <w:color w:val="0F4761" w:themeColor="accent1" w:themeShade="BF"/>
    </w:rPr>
  </w:style>
  <w:style w:type="paragraph" w:styleId="IntenseQuote">
    <w:name w:val="Intense Quote"/>
    <w:basedOn w:val="Normal"/>
    <w:next w:val="Normal"/>
    <w:link w:val="IntenseQuoteChar"/>
    <w:uiPriority w:val="30"/>
    <w:qFormat/>
    <w:rsid w:val="00C7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AB"/>
    <w:rPr>
      <w:i/>
      <w:iCs/>
      <w:color w:val="0F4761" w:themeColor="accent1" w:themeShade="BF"/>
    </w:rPr>
  </w:style>
  <w:style w:type="character" w:styleId="IntenseReference">
    <w:name w:val="Intense Reference"/>
    <w:basedOn w:val="DefaultParagraphFont"/>
    <w:uiPriority w:val="32"/>
    <w:qFormat/>
    <w:rsid w:val="00C743AB"/>
    <w:rPr>
      <w:b/>
      <w:bCs/>
      <w:smallCaps/>
      <w:color w:val="0F4761" w:themeColor="accent1" w:themeShade="BF"/>
      <w:spacing w:val="5"/>
    </w:rPr>
  </w:style>
  <w:style w:type="character" w:styleId="Hyperlink">
    <w:name w:val="Hyperlink"/>
    <w:basedOn w:val="DefaultParagraphFont"/>
    <w:uiPriority w:val="99"/>
    <w:unhideWhenUsed/>
    <w:rsid w:val="00861032"/>
    <w:rPr>
      <w:color w:val="467886" w:themeColor="hyperlink"/>
      <w:u w:val="single"/>
    </w:rPr>
  </w:style>
  <w:style w:type="character" w:styleId="UnresolvedMention">
    <w:name w:val="Unresolved Mention"/>
    <w:basedOn w:val="DefaultParagraphFont"/>
    <w:uiPriority w:val="99"/>
    <w:semiHidden/>
    <w:unhideWhenUsed/>
    <w:rsid w:val="00861032"/>
    <w:rPr>
      <w:color w:val="605E5C"/>
      <w:shd w:val="clear" w:color="auto" w:fill="E1DFDD"/>
    </w:rPr>
  </w:style>
  <w:style w:type="character" w:styleId="FollowedHyperlink">
    <w:name w:val="FollowedHyperlink"/>
    <w:basedOn w:val="DefaultParagraphFont"/>
    <w:uiPriority w:val="99"/>
    <w:semiHidden/>
    <w:unhideWhenUsed/>
    <w:rsid w:val="00A22326"/>
    <w:rPr>
      <w:color w:val="96607D" w:themeColor="followedHyperlink"/>
      <w:u w:val="single"/>
    </w:rPr>
  </w:style>
  <w:style w:type="table" w:styleId="TableGrid">
    <w:name w:val="Table Grid"/>
    <w:basedOn w:val="TableNormal"/>
    <w:uiPriority w:val="39"/>
    <w:rsid w:val="00C8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618B"/>
    <w:rPr>
      <w:color w:val="666666"/>
    </w:rPr>
  </w:style>
  <w:style w:type="character" w:customStyle="1" w:styleId="normaltextrun">
    <w:name w:val="normaltextrun"/>
    <w:basedOn w:val="DefaultParagraphFont"/>
    <w:rsid w:val="00927E20"/>
  </w:style>
  <w:style w:type="character" w:customStyle="1" w:styleId="eop">
    <w:name w:val="eop"/>
    <w:basedOn w:val="DefaultParagraphFont"/>
    <w:rsid w:val="00927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1965">
      <w:bodyDiv w:val="1"/>
      <w:marLeft w:val="0"/>
      <w:marRight w:val="0"/>
      <w:marTop w:val="0"/>
      <w:marBottom w:val="0"/>
      <w:divBdr>
        <w:top w:val="none" w:sz="0" w:space="0" w:color="auto"/>
        <w:left w:val="none" w:sz="0" w:space="0" w:color="auto"/>
        <w:bottom w:val="none" w:sz="0" w:space="0" w:color="auto"/>
        <w:right w:val="none" w:sz="0" w:space="0" w:color="auto"/>
      </w:divBdr>
      <w:divsChild>
        <w:div w:id="919753664">
          <w:marLeft w:val="0"/>
          <w:marRight w:val="0"/>
          <w:marTop w:val="0"/>
          <w:marBottom w:val="0"/>
          <w:divBdr>
            <w:top w:val="none" w:sz="0" w:space="0" w:color="auto"/>
            <w:left w:val="none" w:sz="0" w:space="0" w:color="auto"/>
            <w:bottom w:val="none" w:sz="0" w:space="0" w:color="auto"/>
            <w:right w:val="none" w:sz="0" w:space="0" w:color="auto"/>
          </w:divBdr>
          <w:divsChild>
            <w:div w:id="844127430">
              <w:marLeft w:val="0"/>
              <w:marRight w:val="0"/>
              <w:marTop w:val="0"/>
              <w:marBottom w:val="0"/>
              <w:divBdr>
                <w:top w:val="none" w:sz="0" w:space="0" w:color="auto"/>
                <w:left w:val="none" w:sz="0" w:space="0" w:color="auto"/>
                <w:bottom w:val="none" w:sz="0" w:space="0" w:color="auto"/>
                <w:right w:val="none" w:sz="0" w:space="0" w:color="auto"/>
              </w:divBdr>
              <w:divsChild>
                <w:div w:id="18492961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81151200">
      <w:bodyDiv w:val="1"/>
      <w:marLeft w:val="0"/>
      <w:marRight w:val="0"/>
      <w:marTop w:val="0"/>
      <w:marBottom w:val="0"/>
      <w:divBdr>
        <w:top w:val="none" w:sz="0" w:space="0" w:color="auto"/>
        <w:left w:val="none" w:sz="0" w:space="0" w:color="auto"/>
        <w:bottom w:val="none" w:sz="0" w:space="0" w:color="auto"/>
        <w:right w:val="none" w:sz="0" w:space="0" w:color="auto"/>
      </w:divBdr>
    </w:div>
    <w:div w:id="304241122">
      <w:bodyDiv w:val="1"/>
      <w:marLeft w:val="0"/>
      <w:marRight w:val="0"/>
      <w:marTop w:val="0"/>
      <w:marBottom w:val="0"/>
      <w:divBdr>
        <w:top w:val="none" w:sz="0" w:space="0" w:color="auto"/>
        <w:left w:val="none" w:sz="0" w:space="0" w:color="auto"/>
        <w:bottom w:val="none" w:sz="0" w:space="0" w:color="auto"/>
        <w:right w:val="none" w:sz="0" w:space="0" w:color="auto"/>
      </w:divBdr>
    </w:div>
    <w:div w:id="623583491">
      <w:bodyDiv w:val="1"/>
      <w:marLeft w:val="0"/>
      <w:marRight w:val="0"/>
      <w:marTop w:val="0"/>
      <w:marBottom w:val="0"/>
      <w:divBdr>
        <w:top w:val="none" w:sz="0" w:space="0" w:color="auto"/>
        <w:left w:val="none" w:sz="0" w:space="0" w:color="auto"/>
        <w:bottom w:val="none" w:sz="0" w:space="0" w:color="auto"/>
        <w:right w:val="none" w:sz="0" w:space="0" w:color="auto"/>
      </w:divBdr>
    </w:div>
    <w:div w:id="705911659">
      <w:bodyDiv w:val="1"/>
      <w:marLeft w:val="0"/>
      <w:marRight w:val="0"/>
      <w:marTop w:val="0"/>
      <w:marBottom w:val="0"/>
      <w:divBdr>
        <w:top w:val="none" w:sz="0" w:space="0" w:color="auto"/>
        <w:left w:val="none" w:sz="0" w:space="0" w:color="auto"/>
        <w:bottom w:val="none" w:sz="0" w:space="0" w:color="auto"/>
        <w:right w:val="none" w:sz="0" w:space="0" w:color="auto"/>
      </w:divBdr>
    </w:div>
    <w:div w:id="892470939">
      <w:bodyDiv w:val="1"/>
      <w:marLeft w:val="0"/>
      <w:marRight w:val="0"/>
      <w:marTop w:val="0"/>
      <w:marBottom w:val="0"/>
      <w:divBdr>
        <w:top w:val="none" w:sz="0" w:space="0" w:color="auto"/>
        <w:left w:val="none" w:sz="0" w:space="0" w:color="auto"/>
        <w:bottom w:val="none" w:sz="0" w:space="0" w:color="auto"/>
        <w:right w:val="none" w:sz="0" w:space="0" w:color="auto"/>
      </w:divBdr>
    </w:div>
    <w:div w:id="1089544877">
      <w:bodyDiv w:val="1"/>
      <w:marLeft w:val="0"/>
      <w:marRight w:val="0"/>
      <w:marTop w:val="0"/>
      <w:marBottom w:val="0"/>
      <w:divBdr>
        <w:top w:val="none" w:sz="0" w:space="0" w:color="auto"/>
        <w:left w:val="none" w:sz="0" w:space="0" w:color="auto"/>
        <w:bottom w:val="none" w:sz="0" w:space="0" w:color="auto"/>
        <w:right w:val="none" w:sz="0" w:space="0" w:color="auto"/>
      </w:divBdr>
    </w:div>
    <w:div w:id="1260992811">
      <w:bodyDiv w:val="1"/>
      <w:marLeft w:val="0"/>
      <w:marRight w:val="0"/>
      <w:marTop w:val="0"/>
      <w:marBottom w:val="0"/>
      <w:divBdr>
        <w:top w:val="none" w:sz="0" w:space="0" w:color="auto"/>
        <w:left w:val="none" w:sz="0" w:space="0" w:color="auto"/>
        <w:bottom w:val="none" w:sz="0" w:space="0" w:color="auto"/>
        <w:right w:val="none" w:sz="0" w:space="0" w:color="auto"/>
      </w:divBdr>
    </w:div>
    <w:div w:id="1529682136">
      <w:bodyDiv w:val="1"/>
      <w:marLeft w:val="0"/>
      <w:marRight w:val="0"/>
      <w:marTop w:val="0"/>
      <w:marBottom w:val="0"/>
      <w:divBdr>
        <w:top w:val="none" w:sz="0" w:space="0" w:color="auto"/>
        <w:left w:val="none" w:sz="0" w:space="0" w:color="auto"/>
        <w:bottom w:val="none" w:sz="0" w:space="0" w:color="auto"/>
        <w:right w:val="none" w:sz="0" w:space="0" w:color="auto"/>
      </w:divBdr>
      <w:divsChild>
        <w:div w:id="1554657139">
          <w:marLeft w:val="0"/>
          <w:marRight w:val="0"/>
          <w:marTop w:val="0"/>
          <w:marBottom w:val="0"/>
          <w:divBdr>
            <w:top w:val="none" w:sz="0" w:space="0" w:color="auto"/>
            <w:left w:val="none" w:sz="0" w:space="0" w:color="auto"/>
            <w:bottom w:val="none" w:sz="0" w:space="0" w:color="auto"/>
            <w:right w:val="none" w:sz="0" w:space="0" w:color="auto"/>
          </w:divBdr>
          <w:divsChild>
            <w:div w:id="508448075">
              <w:marLeft w:val="0"/>
              <w:marRight w:val="0"/>
              <w:marTop w:val="0"/>
              <w:marBottom w:val="0"/>
              <w:divBdr>
                <w:top w:val="none" w:sz="0" w:space="0" w:color="auto"/>
                <w:left w:val="none" w:sz="0" w:space="0" w:color="auto"/>
                <w:bottom w:val="none" w:sz="0" w:space="0" w:color="auto"/>
                <w:right w:val="none" w:sz="0" w:space="0" w:color="auto"/>
              </w:divBdr>
              <w:divsChild>
                <w:div w:id="396712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45038384">
      <w:bodyDiv w:val="1"/>
      <w:marLeft w:val="0"/>
      <w:marRight w:val="0"/>
      <w:marTop w:val="0"/>
      <w:marBottom w:val="0"/>
      <w:divBdr>
        <w:top w:val="none" w:sz="0" w:space="0" w:color="auto"/>
        <w:left w:val="none" w:sz="0" w:space="0" w:color="auto"/>
        <w:bottom w:val="none" w:sz="0" w:space="0" w:color="auto"/>
        <w:right w:val="none" w:sz="0" w:space="0" w:color="auto"/>
      </w:divBdr>
      <w:divsChild>
        <w:div w:id="1080325781">
          <w:marLeft w:val="0"/>
          <w:marRight w:val="0"/>
          <w:marTop w:val="0"/>
          <w:marBottom w:val="0"/>
          <w:divBdr>
            <w:top w:val="none" w:sz="0" w:space="0" w:color="auto"/>
            <w:left w:val="none" w:sz="0" w:space="0" w:color="auto"/>
            <w:bottom w:val="none" w:sz="0" w:space="0" w:color="auto"/>
            <w:right w:val="none" w:sz="0" w:space="0" w:color="auto"/>
          </w:divBdr>
          <w:divsChild>
            <w:div w:id="1426150784">
              <w:marLeft w:val="0"/>
              <w:marRight w:val="0"/>
              <w:marTop w:val="0"/>
              <w:marBottom w:val="0"/>
              <w:divBdr>
                <w:top w:val="none" w:sz="0" w:space="0" w:color="auto"/>
                <w:left w:val="none" w:sz="0" w:space="0" w:color="auto"/>
                <w:bottom w:val="none" w:sz="0" w:space="0" w:color="auto"/>
                <w:right w:val="none" w:sz="0" w:space="0" w:color="auto"/>
              </w:divBdr>
              <w:divsChild>
                <w:div w:id="29453186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4155695">
      <w:bodyDiv w:val="1"/>
      <w:marLeft w:val="0"/>
      <w:marRight w:val="0"/>
      <w:marTop w:val="0"/>
      <w:marBottom w:val="0"/>
      <w:divBdr>
        <w:top w:val="none" w:sz="0" w:space="0" w:color="auto"/>
        <w:left w:val="none" w:sz="0" w:space="0" w:color="auto"/>
        <w:bottom w:val="none" w:sz="0" w:space="0" w:color="auto"/>
        <w:right w:val="none" w:sz="0" w:space="0" w:color="auto"/>
      </w:divBdr>
      <w:divsChild>
        <w:div w:id="1551377520">
          <w:marLeft w:val="0"/>
          <w:marRight w:val="0"/>
          <w:marTop w:val="0"/>
          <w:marBottom w:val="0"/>
          <w:divBdr>
            <w:top w:val="none" w:sz="0" w:space="0" w:color="auto"/>
            <w:left w:val="none" w:sz="0" w:space="0" w:color="auto"/>
            <w:bottom w:val="none" w:sz="0" w:space="0" w:color="auto"/>
            <w:right w:val="none" w:sz="0" w:space="0" w:color="auto"/>
          </w:divBdr>
          <w:divsChild>
            <w:div w:id="686831148">
              <w:marLeft w:val="0"/>
              <w:marRight w:val="0"/>
              <w:marTop w:val="0"/>
              <w:marBottom w:val="0"/>
              <w:divBdr>
                <w:top w:val="none" w:sz="0" w:space="0" w:color="auto"/>
                <w:left w:val="none" w:sz="0" w:space="0" w:color="auto"/>
                <w:bottom w:val="none" w:sz="0" w:space="0" w:color="auto"/>
                <w:right w:val="none" w:sz="0" w:space="0" w:color="auto"/>
              </w:divBdr>
              <w:divsChild>
                <w:div w:id="15114121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859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apm.confex.com/aapm/f/SampleSupportingDoc2025a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B4FB5-051B-45AD-A62D-48B3BC22D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5</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Northway, Cassidy</dc:creator>
  <cp:keywords/>
  <dc:description/>
  <cp:lastModifiedBy>Northway, Cassidy</cp:lastModifiedBy>
  <cp:revision>32</cp:revision>
  <dcterms:created xsi:type="dcterms:W3CDTF">2025-11-24T23:55:00Z</dcterms:created>
  <dcterms:modified xsi:type="dcterms:W3CDTF">2026-01-27T21:04:00Z</dcterms:modified>
</cp:coreProperties>
</file>