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6"/>
        <w:gridCol w:w="3146"/>
        <w:gridCol w:w="3146"/>
        <w:tblGridChange w:id="0">
          <w:tblGrid>
            <w:gridCol w:w="3146"/>
            <w:gridCol w:w="3146"/>
            <w:gridCol w:w="3146"/>
          </w:tblGrid>
        </w:tblGridChange>
      </w:tblGrid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Resource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RCR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Guidance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Codes of conduct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Handbook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On being a scientist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RRI guidance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0563c1"/>
                <w:sz w:val="22"/>
                <w:szCs w:val="22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RRI toolkit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Open Science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Guidance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UNESCO Open Science 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RDA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OpenAIRE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Career assessment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DORA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COARA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OS MOOC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563c1"/>
                <w:sz w:val="22"/>
                <w:szCs w:val="22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Opensciency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hyperlink r:id="rId16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FOSTER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hyperlink r:id="rId17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FORRT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hyperlink r:id="rId18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Open Science Training Handbook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Predatory conference checker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563c1"/>
                <w:sz w:val="22"/>
                <w:szCs w:val="22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AuthorAID advice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Training and Mentorship programme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OLS- Open Seeds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Open Access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APCs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APC waivers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Pre-prints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hyperlink r:id="rId21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arXiv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Zenodo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selection (Diamond OA)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hyperlink r:id="rId23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DOAJ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selection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hyperlink r:id="rId2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hinkCheckSubmit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selection (funders)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hyperlink r:id="rId25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OA 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selection (publisher policies incl self archiving)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hyperlink r:id="rId26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Sherpa Romeo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Workflows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hyperlink r:id="rId27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Centre for Open Science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Workflows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hyperlink r:id="rId28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OSF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Access versions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hyperlink r:id="rId2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unpaywall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Publishing ethics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hyperlink r:id="rId30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Authorship guidance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hyperlink r:id="rId31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CASRAI Credit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Authorship guidance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563c1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0563c1"/>
                <w:sz w:val="22"/>
                <w:szCs w:val="22"/>
                <w:u w:val="single"/>
                <w:rtl w:val="0"/>
              </w:rPr>
              <w:t xml:space="preserve">I</w:t>
            </w:r>
            <w:hyperlink r:id="rId3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CMJE guidelines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 and support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hyperlink r:id="rId33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AuthorAID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Scholarly communication tools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hyperlink r:id="rId3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101 Innovations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APC advice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563c1"/>
                <w:sz w:val="22"/>
                <w:szCs w:val="22"/>
                <w:u w:val="single"/>
              </w:rPr>
            </w:pPr>
            <w:hyperlink r:id="rId3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JISC open access cost advice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Scientific electronic library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hyperlink r:id="rId3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SciELO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index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hyperlink r:id="rId3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Clarivate Web of Science 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list of indexed journals</w:t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index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hyperlink r:id="rId3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Scopus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list of indexed journals</w:t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Journal index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hyperlink r:id="rId3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Scimago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Predatory publishing advice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hyperlink r:id="rId4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Center for Journalology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Predatory publishing advice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hyperlink r:id="rId4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AuthorAID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advice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Free and Open Source Software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Licensing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hyperlink r:id="rId42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Gnu licenses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Versioning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Git/</w:t>
            </w:r>
            <w:hyperlink r:id="rId43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Coding community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hyperlink r:id="rId4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R Studio community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Mozilla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hyperlink r:id="rId45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Carpentries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FOSS directory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563c1"/>
                <w:sz w:val="22"/>
                <w:szCs w:val="22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AlternativeTo</w:t>
              </w:r>
            </w:hyperlink>
            <w:r w:rsidDel="00000000" w:rsidR="00000000" w:rsidRPr="00000000">
              <w:rPr>
                <w:color w:val="0563c1"/>
                <w:sz w:val="22"/>
                <w:szCs w:val="22"/>
                <w:u w:val="single"/>
                <w:rtl w:val="0"/>
              </w:rPr>
              <w:t xml:space="preserve"> directory and </w:t>
            </w:r>
            <w:hyperlink r:id="rId4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2"/>
                <w:szCs w:val="22"/>
              </w:rPr>
            </w:pPr>
            <w:hyperlink r:id="rId4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Fair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Open Data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Repository certification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hyperlink r:id="rId4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CoreTrustSeal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Repository listing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hyperlink r:id="rId50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Re3data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Repository listing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hyperlink r:id="rId51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COAR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Repository listing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563c1"/>
                <w:sz w:val="22"/>
                <w:szCs w:val="22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OpenDOAR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Repository listing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hyperlink r:id="rId5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WDS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standards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hyperlink r:id="rId5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FAIR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and </w:t>
            </w:r>
            <w:hyperlink r:id="rId55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FAIR checker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hyperlink r:id="rId56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FAIRAware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FAIR checker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563c1"/>
                <w:sz w:val="22"/>
                <w:szCs w:val="22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F-UJI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FAIR policy checklist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hyperlink r:id="rId58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FAIRsFAIR policy checklist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Metadata standards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Ie. </w:t>
            </w:r>
            <w:hyperlink r:id="rId5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DublinCore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Licensing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hyperlink r:id="rId60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Creative Commons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tool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2"/>
                <w:szCs w:val="22"/>
              </w:rPr>
            </w:pPr>
            <w:hyperlink r:id="rId61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DMP Tool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tool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hyperlink r:id="rId62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DSW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tool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hyperlink r:id="rId63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ARGOS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tool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hyperlink r:id="rId64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DMP 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Sensitive data checker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hyperlink r:id="rId65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GDPR decision 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checklist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hyperlink r:id="rId66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DCC DMP checklist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DMP checklist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2"/>
                <w:szCs w:val="22"/>
              </w:rPr>
            </w:pPr>
            <w:hyperlink r:id="rId67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Swedish National Data Services DMP checklist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Discipline specific DMP guidance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hyperlink r:id="rId68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Science Europe guidance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2"/>
                <w:szCs w:val="22"/>
              </w:rPr>
            </w:pPr>
            <w:hyperlink r:id="rId6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RDM/data steward training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Sensitive data management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color w:val="0563c1"/>
                <w:sz w:val="22"/>
                <w:szCs w:val="22"/>
                <w:u w:val="single"/>
              </w:rPr>
            </w:pPr>
            <w:hyperlink r:id="rId7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Amnesia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Sensitive data management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color w:val="0563c1"/>
                <w:sz w:val="22"/>
                <w:szCs w:val="22"/>
                <w:u w:val="single"/>
              </w:rPr>
            </w:pPr>
            <w:hyperlink r:id="rId7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DataShield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2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Resources from Week 1 of the CODATA-RDA Schools for Research Data Science (Open and Re</w:t>
    </w:r>
    <w:r w:rsidDel="00000000" w:rsidR="00000000" w:rsidRPr="00000000">
      <w:rPr>
        <w:b w:val="1"/>
        <w:sz w:val="28"/>
        <w:szCs w:val="28"/>
        <w:rtl w:val="0"/>
      </w:rPr>
      <w:t xml:space="preserve">sponsible Research, RDM, Authorship)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30BD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30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30BD7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30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30BD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30BD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30BD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30BD7"/>
    <w:rPr>
      <w:b w:val="1"/>
      <w:bCs w:val="1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 w:val="1"/>
    <w:rsid w:val="00A30BD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30BD7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A30BD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30BD7"/>
    <w:rPr>
      <w:lang w:val="en-GB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30BD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hri.ca/journalology/" TargetMode="External"/><Relationship Id="rId42" Type="http://schemas.openxmlformats.org/officeDocument/2006/relationships/hyperlink" Target="https://www.gnu.org/licenses/gpl-3.0.en.html" TargetMode="External"/><Relationship Id="rId41" Type="http://schemas.openxmlformats.org/officeDocument/2006/relationships/hyperlink" Target="https://www.authoraid.info/en/news/details/1310/" TargetMode="External"/><Relationship Id="rId44" Type="http://schemas.openxmlformats.org/officeDocument/2006/relationships/hyperlink" Target="https://r-community.org/rstudio/" TargetMode="External"/><Relationship Id="rId43" Type="http://schemas.openxmlformats.org/officeDocument/2006/relationships/hyperlink" Target="https://github.com/" TargetMode="External"/><Relationship Id="rId46" Type="http://schemas.openxmlformats.org/officeDocument/2006/relationships/hyperlink" Target="https://alternativeto.net/software/open-source-software-directory/" TargetMode="External"/><Relationship Id="rId45" Type="http://schemas.openxmlformats.org/officeDocument/2006/relationships/hyperlink" Target="https://carpentries.or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unesco.org/science-sustainable-future/open-science/recommendation" TargetMode="External"/><Relationship Id="rId48" Type="http://schemas.openxmlformats.org/officeDocument/2006/relationships/hyperlink" Target="https://fair-software.eu/" TargetMode="External"/><Relationship Id="rId47" Type="http://schemas.openxmlformats.org/officeDocument/2006/relationships/hyperlink" Target="https://www.opensourcealternative.to/" TargetMode="External"/><Relationship Id="rId49" Type="http://schemas.openxmlformats.org/officeDocument/2006/relationships/hyperlink" Target="https://www.coretrustseal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p.nationalacademies.org/catalog/12192/on-being-a-scientist-a-guide-to-responsible-conduct-in" TargetMode="External"/><Relationship Id="rId8" Type="http://schemas.openxmlformats.org/officeDocument/2006/relationships/hyperlink" Target="https://rri-tools.eu/" TargetMode="External"/><Relationship Id="rId72" Type="http://schemas.openxmlformats.org/officeDocument/2006/relationships/header" Target="header1.xml"/><Relationship Id="rId31" Type="http://schemas.openxmlformats.org/officeDocument/2006/relationships/hyperlink" Target="https://casrai.org/credit/" TargetMode="External"/><Relationship Id="rId30" Type="http://schemas.openxmlformats.org/officeDocument/2006/relationships/hyperlink" Target="https://publicationethics.org/" TargetMode="External"/><Relationship Id="rId33" Type="http://schemas.openxmlformats.org/officeDocument/2006/relationships/hyperlink" Target="https://www.authoraid.info/en/" TargetMode="External"/><Relationship Id="rId32" Type="http://schemas.openxmlformats.org/officeDocument/2006/relationships/hyperlink" Target="https://www.icmje.org/recommendations/browse/roles-and-responsibilities/defining-the-role-of-authors-and-contributors.html" TargetMode="External"/><Relationship Id="rId35" Type="http://schemas.openxmlformats.org/officeDocument/2006/relationships/hyperlink" Target="https://www.jisc.ac.uk/guides/managing-your-open-access-costs" TargetMode="External"/><Relationship Id="rId34" Type="http://schemas.openxmlformats.org/officeDocument/2006/relationships/hyperlink" Target="https://101innovations.wordpress.com/" TargetMode="External"/><Relationship Id="rId71" Type="http://schemas.openxmlformats.org/officeDocument/2006/relationships/hyperlink" Target="https://www.datashield.org/" TargetMode="External"/><Relationship Id="rId70" Type="http://schemas.openxmlformats.org/officeDocument/2006/relationships/hyperlink" Target="https://amnesia.openaire.eu/" TargetMode="External"/><Relationship Id="rId37" Type="http://schemas.openxmlformats.org/officeDocument/2006/relationships/hyperlink" Target="https://mjl.clarivate.com/home" TargetMode="External"/><Relationship Id="rId36" Type="http://schemas.openxmlformats.org/officeDocument/2006/relationships/hyperlink" Target="https://www.scielo.org/" TargetMode="External"/><Relationship Id="rId39" Type="http://schemas.openxmlformats.org/officeDocument/2006/relationships/hyperlink" Target="https://www.scimagojr.com/" TargetMode="External"/><Relationship Id="rId38" Type="http://schemas.openxmlformats.org/officeDocument/2006/relationships/hyperlink" Target="https://www.scopus.com/home.uri" TargetMode="External"/><Relationship Id="rId62" Type="http://schemas.openxmlformats.org/officeDocument/2006/relationships/hyperlink" Target="https://ds-wizard.org/" TargetMode="External"/><Relationship Id="rId61" Type="http://schemas.openxmlformats.org/officeDocument/2006/relationships/hyperlink" Target="https://dmptool.org/" TargetMode="External"/><Relationship Id="rId20" Type="http://schemas.openxmlformats.org/officeDocument/2006/relationships/hyperlink" Target="https://openlifesci.org/" TargetMode="External"/><Relationship Id="rId64" Type="http://schemas.openxmlformats.org/officeDocument/2006/relationships/hyperlink" Target="https://dmponline.dcc.ac.uk/" TargetMode="External"/><Relationship Id="rId63" Type="http://schemas.openxmlformats.org/officeDocument/2006/relationships/hyperlink" Target="https://argos.openaire.eu/splash/" TargetMode="External"/><Relationship Id="rId22" Type="http://schemas.openxmlformats.org/officeDocument/2006/relationships/hyperlink" Target="https://zenodo.org/" TargetMode="External"/><Relationship Id="rId66" Type="http://schemas.openxmlformats.org/officeDocument/2006/relationships/hyperlink" Target="https://www.dcc.ac.uk/DMPs/checklist" TargetMode="External"/><Relationship Id="rId21" Type="http://schemas.openxmlformats.org/officeDocument/2006/relationships/hyperlink" Target="https://arxiv.org/" TargetMode="External"/><Relationship Id="rId65" Type="http://schemas.openxmlformats.org/officeDocument/2006/relationships/hyperlink" Target="https://ec.europa.eu/assets/rtd/ethics-data-protection-decision-tree/index.html" TargetMode="External"/><Relationship Id="rId24" Type="http://schemas.openxmlformats.org/officeDocument/2006/relationships/hyperlink" Target="https://thinkchecksubmit.org/" TargetMode="External"/><Relationship Id="rId68" Type="http://schemas.openxmlformats.org/officeDocument/2006/relationships/hyperlink" Target="https://www.scienceeurope.org/media/nsxdyvqn/se_guidance_document_rdmps.pdf" TargetMode="External"/><Relationship Id="rId23" Type="http://schemas.openxmlformats.org/officeDocument/2006/relationships/hyperlink" Target="https://doaj.org/" TargetMode="External"/><Relationship Id="rId67" Type="http://schemas.openxmlformats.org/officeDocument/2006/relationships/hyperlink" Target="https://snd.gu.se/en/manage-data/guides/dmp-checklist" TargetMode="External"/><Relationship Id="rId60" Type="http://schemas.openxmlformats.org/officeDocument/2006/relationships/hyperlink" Target="https://creativecommons.org/" TargetMode="External"/><Relationship Id="rId26" Type="http://schemas.openxmlformats.org/officeDocument/2006/relationships/hyperlink" Target="https://www.sherpa.ac.uk/romeo/" TargetMode="External"/><Relationship Id="rId25" Type="http://schemas.openxmlformats.org/officeDocument/2006/relationships/hyperlink" Target="https://journalcheckertool.org/" TargetMode="External"/><Relationship Id="rId69" Type="http://schemas.openxmlformats.org/officeDocument/2006/relationships/hyperlink" Target="https://moodle.learn.eosc-synergy.eu/course/view.php?id=132" TargetMode="External"/><Relationship Id="rId28" Type="http://schemas.openxmlformats.org/officeDocument/2006/relationships/hyperlink" Target="https://osf.io/" TargetMode="External"/><Relationship Id="rId27" Type="http://schemas.openxmlformats.org/officeDocument/2006/relationships/hyperlink" Target="https://www.cos.io/" TargetMode="External"/><Relationship Id="rId29" Type="http://schemas.openxmlformats.org/officeDocument/2006/relationships/hyperlink" Target="https://unpaywall.org/" TargetMode="External"/><Relationship Id="rId51" Type="http://schemas.openxmlformats.org/officeDocument/2006/relationships/hyperlink" Target="https://www.coar-repositories.org/" TargetMode="External"/><Relationship Id="rId50" Type="http://schemas.openxmlformats.org/officeDocument/2006/relationships/hyperlink" Target="https://www.re3data.org/" TargetMode="External"/><Relationship Id="rId53" Type="http://schemas.openxmlformats.org/officeDocument/2006/relationships/hyperlink" Target="https://worlddatasystem.org/members/wds-members-directory-pdf/" TargetMode="External"/><Relationship Id="rId52" Type="http://schemas.openxmlformats.org/officeDocument/2006/relationships/hyperlink" Target="https://v2.sherpa.ac.uk/opendoar/" TargetMode="External"/><Relationship Id="rId11" Type="http://schemas.openxmlformats.org/officeDocument/2006/relationships/hyperlink" Target="https://openaire.eu/" TargetMode="External"/><Relationship Id="rId55" Type="http://schemas.openxmlformats.org/officeDocument/2006/relationships/hyperlink" Target="https://www.gida-global.org/care" TargetMode="External"/><Relationship Id="rId10" Type="http://schemas.openxmlformats.org/officeDocument/2006/relationships/hyperlink" Target="https://www.rd-alliance.org/" TargetMode="External"/><Relationship Id="rId54" Type="http://schemas.openxmlformats.org/officeDocument/2006/relationships/hyperlink" Target="https://www.go-fair.org/fair-principles/" TargetMode="External"/><Relationship Id="rId13" Type="http://schemas.openxmlformats.org/officeDocument/2006/relationships/hyperlink" Target="https://coara.eu/" TargetMode="External"/><Relationship Id="rId57" Type="http://schemas.openxmlformats.org/officeDocument/2006/relationships/hyperlink" Target="https://www.f-uji.net/" TargetMode="External"/><Relationship Id="rId12" Type="http://schemas.openxmlformats.org/officeDocument/2006/relationships/hyperlink" Target="https://sfdora.org/" TargetMode="External"/><Relationship Id="rId56" Type="http://schemas.openxmlformats.org/officeDocument/2006/relationships/hyperlink" Target="https://fairaware.dans.knaw.nl/" TargetMode="External"/><Relationship Id="rId15" Type="http://schemas.openxmlformats.org/officeDocument/2006/relationships/hyperlink" Target="https://github.com/opensciency/sprint-content" TargetMode="External"/><Relationship Id="rId59" Type="http://schemas.openxmlformats.org/officeDocument/2006/relationships/hyperlink" Target="https://www.dublincore.org/" TargetMode="External"/><Relationship Id="rId14" Type="http://schemas.openxmlformats.org/officeDocument/2006/relationships/hyperlink" Target="https://opensciencemooc.eu/" TargetMode="External"/><Relationship Id="rId58" Type="http://schemas.openxmlformats.org/officeDocument/2006/relationships/hyperlink" Target="https://www.fairsfair.eu/policy-recommendations-and-support-programme" TargetMode="External"/><Relationship Id="rId17" Type="http://schemas.openxmlformats.org/officeDocument/2006/relationships/hyperlink" Target="https://forrt.org/" TargetMode="External"/><Relationship Id="rId16" Type="http://schemas.openxmlformats.org/officeDocument/2006/relationships/hyperlink" Target="https://www.fosteropenscience.eu/" TargetMode="External"/><Relationship Id="rId19" Type="http://schemas.openxmlformats.org/officeDocument/2006/relationships/hyperlink" Target="https://www.authoraid.info/en/news/details/1156/" TargetMode="External"/><Relationship Id="rId18" Type="http://schemas.openxmlformats.org/officeDocument/2006/relationships/hyperlink" Target="https://open-science-training-handbook.github.io/Open-Science-Training-Handbook_EN/05ExamplesAndPracticalGuid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tgC5iAbut2y0D7DQNJ+0lCK2Q==">CgMxLjA4AGooChRzdWdnZXN0Ljg5dmF6cmxxc3kzZRIQQW5nZWxpY2EgTWFpbmVyaXIhMTVMNE5ncnBMMHgyS2FkMHRpeWpabnlDQ0VxV1lrcGpj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2023-08-01T12:47:00Z</dcterms:created>
  <dc:creator>Louise Bezuidenhout</dc:creator>
</cp:coreProperties>
</file>