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bookmarkStart w:id="0" w:name="_Toc121173940"/>
      <w:r>
        <w:rPr>
          <w:b/>
          <w:bCs/>
          <w:sz w:val="32"/>
          <w:szCs w:val="32"/>
        </w:rPr>
        <w:t>S</w:t>
      </w:r>
      <w:bookmarkEnd w:id="0"/>
      <w:r>
        <w:rPr>
          <w:b/>
          <w:bCs/>
          <w:sz w:val="32"/>
          <w:szCs w:val="32"/>
        </w:rPr>
        <w:t>afety Review Preparation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9928"/>
        <w:gridCol w:w="871"/>
      </w:tblGrid>
      <w:tr>
        <w:trPr>
          <w:tblHeader w:val="true"/>
          <w:trHeight w:val="733" w:hRule="atLeast"/>
          <w:cantSplit w:val="true"/>
        </w:trPr>
        <w:tc>
          <w:tcPr>
            <w:tcW w:w="992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Seismic Data Presentation Question</w:t>
            </w:r>
          </w:p>
        </w:tc>
        <w:tc>
          <w:tcPr>
            <w:tcW w:w="87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Answer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新細明體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(1) Is the seabed signature clearly visible and can the polarity be established?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新細明體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(2) Have the seismic data been displayed with and without an interpretation?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{{srr_checklist.q2}}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(3) Have both a time and a depth section been presented?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{{srr_checklist.q3}}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(4) Do the final site displays result in the drill stick representing about half of the vertical section? (This is not required for regional displays.)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{{srr_checklist.q4</w:t>
            </w:r>
            <w:r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(5) Has the depth of proposed penetration been marked? (This should include the target depth and the total depth of penetration if a logging tool is to be used. The marking “stick” should also include an estimate of uncertainty.)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{{srr_checklist.q5}}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(6) Have key geologic and/or safety issues been highlighted on the seismic data?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{{srr_checklist.q6}}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(7) Have seismic attributes been presented in color rather than black and white?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{{srr_checklist.q7}}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(8) Are the vertical and horizontal scales on associated strike- and dip-sections the same?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{{srr_checklist.q8}}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(9) Have intersections with cross-lines been clearly labeled?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{{srr_checklist.q9}}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(10) Have CDP or shot points been appropriately labeled?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{{srr_checklist.q10}}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(11) Are both vertical and horizontal scales present (preferably on the axis)?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{{srr_checklist.q11}}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(12) Has a summary of acquisition and processing been provided?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{{srr_checklist.q12}}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(13) Is the processing appropriate for imaging the target depth?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{{srr_checklist.q13}}</w:t>
            </w:r>
          </w:p>
        </w:tc>
      </w:tr>
      <w:tr>
        <w:trPr>
          <w:cantSplit w:val="true"/>
        </w:trPr>
        <w:tc>
          <w:tcPr>
            <w:tcW w:w="992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(14) Has the information utilized to establish the time-depth conversion been provided?</w:t>
            </w:r>
          </w:p>
        </w:tc>
        <w:tc>
          <w:tcPr>
            <w:tcW w:w="871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{{srr_checklist.q14}}</w:t>
            </w:r>
          </w:p>
        </w:tc>
      </w:tr>
    </w:tbl>
    <w:p>
      <w:pPr>
        <w:pStyle w:val="Normal"/>
        <w:spacing w:before="0"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9935"/>
        <w:gridCol w:w="864"/>
      </w:tblGrid>
      <w:tr>
        <w:trPr>
          <w:tblHeader w:val="true"/>
          <w:trHeight w:val="734" w:hRule="atLeast"/>
          <w:cantSplit w:val="true"/>
        </w:trPr>
        <w:tc>
          <w:tcPr>
            <w:tcW w:w="9935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Seismic Data Presentation Question</w:t>
            </w:r>
          </w:p>
        </w:tc>
        <w:tc>
          <w:tcPr>
            <w:tcW w:w="86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Answer</w:t>
            </w:r>
          </w:p>
        </w:tc>
      </w:tr>
      <w:tr>
        <w:trPr>
          <w:cantSplit w:val="true"/>
        </w:trPr>
        <w:tc>
          <w:tcPr>
            <w:tcW w:w="993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u w:val="none"/>
              </w:rPr>
            </w:pPr>
            <w:r>
              <w:rPr>
                <w:rFonts w:eastAsia="新細明體"/>
                <w:b w:val="false"/>
                <w:bCs w:val="false"/>
                <w:i w:val="false"/>
                <w:iCs w:val="false"/>
                <w:kern w:val="0"/>
                <w:sz w:val="16"/>
                <w:szCs w:val="20"/>
                <w:u w:val="none"/>
                <w:lang w:val="en-US" w:eastAsia="en-US" w:bidi="ar-SA"/>
              </w:rPr>
              <w:t>(15) On the map, has directionality been established with an arrow or a latitude/longitude grid?</w:t>
            </w:r>
          </w:p>
        </w:tc>
        <w:tc>
          <w:tcPr>
            <w:tcW w:w="864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{{srr_checklist.q15}}</w:t>
            </w:r>
          </w:p>
        </w:tc>
      </w:tr>
      <w:tr>
        <w:trPr>
          <w:cantSplit w:val="true"/>
        </w:trPr>
        <w:tc>
          <w:tcPr>
            <w:tcW w:w="993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(16) Has a suitable map scale been provided?</w:t>
            </w:r>
          </w:p>
        </w:tc>
        <w:tc>
          <w:tcPr>
            <w:tcW w:w="864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srr_checklist.q16}}</w:t>
            </w:r>
          </w:p>
        </w:tc>
      </w:tr>
      <w:tr>
        <w:trPr>
          <w:cantSplit w:val="true"/>
        </w:trPr>
        <w:tc>
          <w:tcPr>
            <w:tcW w:w="993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20"/>
                <w:u w:val="none"/>
              </w:rPr>
              <w:t>(17) Are contours appropriately labeled with units identified?</w:t>
            </w:r>
          </w:p>
        </w:tc>
        <w:tc>
          <w:tcPr>
            <w:tcW w:w="864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{{srr_checklist.q17}}</w:t>
            </w:r>
          </w:p>
        </w:tc>
      </w:tr>
      <w:tr>
        <w:trPr>
          <w:cantSplit w:val="true"/>
        </w:trPr>
        <w:tc>
          <w:tcPr>
            <w:tcW w:w="993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20"/>
                <w:u w:val="none"/>
              </w:rPr>
              <w:t>(18) Are all necessary seismic track lines identified on maps, with shot points labeled at a regular interval?</w:t>
            </w:r>
          </w:p>
        </w:tc>
        <w:tc>
          <w:tcPr>
            <w:tcW w:w="864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{{srr_checklist.q18}}</w:t>
            </w:r>
          </w:p>
        </w:tc>
      </w:tr>
      <w:tr>
        <w:trPr>
          <w:cantSplit w:val="true"/>
        </w:trPr>
        <w:tc>
          <w:tcPr>
            <w:tcW w:w="993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z w:val="16"/>
                <w:szCs w:val="20"/>
                <w:u w:val="none"/>
              </w:rPr>
              <w:t>19) Has the resolution of the grid been provided? And, has the appropriate scale bar been presented?</w:t>
            </w:r>
          </w:p>
        </w:tc>
        <w:tc>
          <w:tcPr>
            <w:tcW w:w="864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{{srr_checklist.q19}}</w:t>
            </w:r>
          </w:p>
        </w:tc>
      </w:tr>
      <w:tr>
        <w:trPr>
          <w:cantSplit w:val="true"/>
        </w:trPr>
        <w:tc>
          <w:tcPr>
            <w:tcW w:w="993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z w:val="16"/>
                <w:szCs w:val="20"/>
                <w:u w:val="none"/>
              </w:rPr>
              <w:t>(20) Do all maps share a common coordinate reference system?</w:t>
            </w:r>
          </w:p>
        </w:tc>
        <w:tc>
          <w:tcPr>
            <w:tcW w:w="864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{{srr_checklist.q20}}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blHeader w:val="true"/>
          <w:trHeight w:val="734" w:hRule="atLeast"/>
          <w:cantSplit w:val="true"/>
        </w:trPr>
        <w:tc>
          <w:tcPr>
            <w:tcW w:w="10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Comments</w:t>
            </w:r>
          </w:p>
        </w:tc>
      </w:tr>
      <w:tr>
        <w:trPr>
          <w:trHeight w:val="288" w:hRule="atLeast"/>
          <w:cantSplit w:val="true"/>
        </w:trPr>
        <w:tc>
          <w:tcPr>
            <w:tcW w:w="10800" w:type="dxa"/>
            <w:tcBorders>
              <w:top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{{srr_checklist.comments}}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720" w:right="720" w:gutter="0" w:header="720" w:top="1080" w:footer="36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6a84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LibreOffice/7.6.2.1$MacOSX_AARCH64 LibreOffice_project/56f7684011345957bbf33a7ee678afaf4d2ba333</Application>
  <AppVersion>15.0000</AppVersion>
  <Pages>1</Pages>
  <Words>316</Words>
  <Characters>2055</Characters>
  <CharactersWithSpaces>2323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2023-05-04T00:12:00Z</dcterms:created>
  <dc:creator>Tony Chen</dc:creator>
  <dc:description/>
  <dc:language>en-US</dc:language>
  <cp:lastModifiedBy/>
  <cp:lastPrinted>2023-02-02T17:55:00Z</cp:lastPrinted>
  <dcterms:modified xsi:type="dcterms:W3CDTF">2024-01-25T17:34:05Z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