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4572000" cy="2078181"/>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4572000" cy="2078181"/>
                          </a:xfrm>
                          <a:prstGeom prst="rect">
                            <a:avLst/>
                          </a:prstGeom>
                        </pic:spPr>
                      </pic:pic>
                    </a:graphicData>
                  </a:graphic>
                </wp:inline>
              </w:drawing>
            </w:r>
          </w:p>
          <w:p>
            <w:pPr>
              <w:spacing w:after="0" w:before="40"/>
              <w:jc w:val="center"/>
            </w:pPr>
            <w:r>
              <w:rPr>
                <w:rFonts w:ascii="Arial" w:cs="Arial" w:eastAsia="Arial" w:hAnsi="Arial"/>
                <w:color w:val="F5EDD8"/>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5EDD8"/>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fund the technical development of that platform, run it live across Scout’s locations in 2028, and bring it to the external veterinary market in 2029 as the founding product of a Thurlow Technology Division. The opportunity: a $24M ARR addressable market with no direct competitor combining demand forecasting, multi-location intelligence, and integrated procurement. The ask: $650,000–$850,000 in seed investment. The return: equity in a platform that Scout already proved works, led by the CEO of the organization that built it, validated on live clinical data before a single external dollar is spent.</w:t>
            </w:r>
          </w:p>
          <w:p>
            <w:pPr>
              <w:pBdr>
                <w:bottom w:val="single" w:color="C8922A" w:sz="6" w:space="1"/>
              </w:pBdr>
              <w:spacing w:after="0" w:before="800"/>
            </w:pPr>
          </w:p>
          <w:p>
            <w:pPr>
              <w:spacing w:after="60" w:before="200"/>
              <w:jc w:val="center"/>
            </w:pPr>
            <w:r>
              <w:rPr>
                <w:rFonts w:ascii="Arial" w:cs="Arial" w:eastAsia="Arial" w:hAnsi="Arial"/>
                <w:b/>
                <w:bCs/>
                <w:color w:val="F5EDD8"/>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CPO — Scout Veterinary Urgent Care</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lot-level write-back), COGs management with admin-selectable denominator, full procurement intelligence via Vetcove,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color w:val="8899AA"/>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There is no dashboard today. The Admin cannot see which location is below Min on a critical drug or trending toward a COGs problem next month.</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Admin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Admin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read and write-back, monthly automated updates, and 14,929 verified formulas on Scout live data.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cloud-based veterinary inventory software platform that takes everything a high-performing Inventory Lead does manually today — forecasting, ordering, tracking, reporting, and loss management — and makes it automatic, scalable, and accessible from day one at every location.</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Phase 1 (now): MedSync Analytics calculates seasonal reorder points from Scout’s three-method SOP calculator and usage history. The Admin reviews recommendations and exports a pre-filled CSV for direct upload into Vetspire’s Products Upload tool — no manual calculation, no spreadsheet, one upload. Min/Max values switch automatically between peak season (May–October) and off-peak thresholds.</w:t>
            </w:r>
          </w:p>
          <w:p>
            <w:r>
              <w:rPr>
                <w:rFonts w:ascii="Arial" w:cs="Arial" w:eastAsia="Arial" w:hAnsi="Arial"/>
                <w:color w:val="4A5568"/>
                <w:sz w:val="19"/>
                <w:szCs w:val="19"/>
              </w:rPr>
              <w:t xml:space="preserve">Phase 2 (pending Vetspire API access): Updated reorder points write back directly to Vetspire inventory settings via API — no upload required. The IL never has to update two systems. MedSync triggers the write-back automatically each time the season changes or usage data is updated.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only: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delivers one weekly order cycle built around Scout’s proven procurement workflow — consolidated order intelligence, GPO-estimated pricing, and a one-click PDF export the IL uses to place the order directly through Vetcove or their distributor rep. Phase 2 connects the platform directly to the Vetcove API for fully automated order submission without leaving MedSync.</w:t>
      </w:r>
    </w:p>
    <w:p>
      <w:pPr>
        <w:spacing w:after="0" w:before="140"/>
      </w:pPr>
      <w:r>
        <w:t xml:space="preserve"/>
      </w:r>
    </w:p>
    <w:p>
      <w:pPr>
        <w:pStyle w:val="Heading2"/>
      </w:pPr>
      <w:r>
        <w:rPr>
          <w:rFonts w:ascii="Arial" w:cs="Arial" w:eastAsia="Arial" w:hAnsi="Arial"/>
          <w:b/>
          <w:bCs/>
          <w:color w:val="1C2B4A"/>
          <w:sz w:val="23"/>
          <w:szCs w:val="23"/>
        </w:rPr>
        <w:t xml:space="preserve">The automated procurement flow:</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01</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02</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03</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05</w:t>
            </w:r>
          </w:p>
        </w:tc>
      </w:tr>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Export PDF &amp; Place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Vetcove integration (Phase 2):</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400"/>
        <w:gridCol w:w="1160"/>
      </w:tblGrid>
      <w:tr>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Three-PIM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the foundation of everything that follows. Every lot record, every carrying time calculation, every expiration alert, every recall trace — all of it begins at this moment. If the receiving data is wrong, everything downstream is wrong. The scan makes it right, automatically, every time.</w:t>
            </w:r>
          </w:p>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Admin 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The four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four categories based on unit cost and usage velocity. Category determines count frequency — high-value, high-velocity products are verified most often; low-value, low-velocity supplies count once a month.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four-week rotation:</w:t>
      </w:r>
    </w:p>
    <w:p>
      <w:pPr>
        <w:spacing w:after="100" w:before="60"/>
      </w:pPr>
      <w:r>
        <w:rPr>
          <w:rFonts w:ascii="Arial" w:cs="Arial" w:eastAsia="Arial" w:hAnsi="Arial"/>
          <w:color w:val="4A5568"/>
          <w:sz w:val="20"/>
          <w:szCs w:val="20"/>
        </w:rPr>
        <w:t xml:space="preserve">Category A is always in the count — every week, every location. The remaining categories rotate in on a biweekly or monthly basis so the total count load stays manageable every week.</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COD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넕15%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January 2028,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a Scout Inventory Lead using Scout's actual Vetspire data, Scout's SOP methodology, and Scout's operational workflows. Every feature solves a problem Scout has today.</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Conservative estimates put the annual return at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with Vetcove integration + veterinary-specific workflows + Vetspire connectivity. This is MedSync's moat — and every piece of it was discovered from the inside.</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2029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system with validated logic, a defined methodology, a complete product specification, and a clear three-year path: build in 2027, validate across Scout in 2028, launch to the external market in 2029. The investment ask funds a defined plan — not a concept. Tiered pricing means revenue per customer scales with practice complexity, improving both break-even speed and long-term ARR potential beyond the flat-rate projections. That combination places MedSync in a significantly stronger pre-development position than most early-stage software investments.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8 functional screens, real Supabase backend, authentication, and active manager users. Proprietary methodology across 8 feature domains. Founder is the customer. Full product spec with lot-level financial tracking, weekly order cycle, goods lost intelligence, smart cycle count, and expiration intelligence.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Vetspire integration, and automated monthly updates is not a mockup.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$650,000 – $850,000 seed investment — sized to fund the 2027 build, the 2028 Scout pilot, and the first half of 2029 market launch with a prudent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 – 20%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2027 build — technical development $165K–$300K (tech co-founder, nearshore dev, cloud + APIs, tooling, legal). Working deployed application at MedSync.vet reduces exploratory build costs and ramp-up time. 2027 operating — CPO supplement + tools + conference research $34K–$44K. 2028 Scout pilot — CEO/sales hire, customer success hire, marketing hire, platform maintenance, conferences, case study production $161K–$228K net of Scout revenue. H1 2029 runway — full team operating costs before external revenue ramps $207K–$284K net of early customer revenue. Total capital need: $598K–$879K. Investment of $650K–$850K funds the full plan with operating reserve.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$650,000 to $850,000 — sized precisely to fund the 2027 platform build, the 2028 Scout pilot, and the first half of 2029 market launch with a prudent operating reserve. Not a round number chosen to sound like a seed round. A number derived from a line-by-line capital needs analysis. Does Thurlow want to own a piece of the technology platform that was built on Thurlow data, solves Thurlow operational problems, and will give Thurlow a proprietary advantage at 40+ locations — while generating independent revenue from the 30,000+ other practices that need exactly the same thing?</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$650K–$850K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Build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Scout Pilot</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2029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Admin, Thurlow.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Q2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2029 market launch: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+ 12%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targets 25 external customers ($74,700 ARR), covering roughly 21% of dedicated payroll.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2030</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2030–2031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Mid-2030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 onward</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2028 Scout pilot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2029.</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2027–2029 build and pilot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12%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12%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of MedSync — established at investment close before any external valuation event. Standard 4-year vesting schedule with a 1-year cliff. If MedSync reaches Series A or a liquidity event, Megan's 12%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15–20%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10–15%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43–55%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12%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is enough to be genuinely meaningful at any realistic exit or ARR milestone. At $1.5M ARR and a 5x revenue multiple, 12% = $900,000. At a 10x multiple — common for profitable vertical SaaS — 12% = $1,800,000. It is a founder stake, not an employee grant.</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 $75K in 2027, $112.5K in 2028, $187.5K in 2029. This is a fraction of what a standalone startup would pay a CPO. The real compensation is the 12% equity stake in a company that Megan built — and that no one else could have built.</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$650K–$850K seed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2027 build phase, MedSync requires strategic direction and investor management — not a full-time sales operation. During the 2028 Scout pilot, MedSync’s “customer” is Thurlow itself. Tripp is already managing that relationship. The external commercial load that justifies a dedicated CEO hire does not materialize until the 2029 market launch — giving this structure a natural two-year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Build</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Scout Pilot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2029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technical development of the MVP — taking the validated spreadsheet prototype and PIM concept into a cloud-based SaaS platform with Vetspire integration, Vetcove procurement connectivity, multi-tenant architecture, and a production-ready web interface.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2027 BUILD  ·  2028 SCOUT PILOT  ·  2029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2027 — Platform build and product design:</w:t>
      </w:r>
    </w:p>
    <w:p>
      <w:pPr>
        <w:spacing w:after="60" w:before="40"/>
      </w:pPr>
      <w:r>
        <w:rPr>
          <w:rFonts w:ascii="Arial" w:cs="Arial" w:eastAsia="Arial" w:hAnsi="Arial"/>
          <w:color w:val="4A5568"/>
          <w:sz w:val="20"/>
          <w:szCs w:val="20"/>
        </w:rPr>
        <w:t xml:space="preserve">The remainder of 2027 is dedicated entirely to building and designing the platform — no external customers, no revenue pressure, no shortcuts. The goal is to arrive at January 2028 with a fully functional, internally tested product that is ready for Scout to run on in a live clinical environment.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read and write-back integration live.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Q3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ready for Scout pilot January 2028.</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2029</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Full platform built,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2028 — Scout pilot and clinical validation:</w:t>
      </w:r>
    </w:p>
    <w:p>
      <w:pPr>
        <w:spacing w:after="60" w:before="40"/>
      </w:pPr>
      <w:r>
        <w:rPr>
          <w:rFonts w:ascii="Arial" w:cs="Arial" w:eastAsia="Arial" w:hAnsi="Arial"/>
          <w:color w:val="4A5568"/>
          <w:sz w:val="20"/>
          <w:szCs w:val="20"/>
        </w:rPr>
        <w:t xml:space="preserve">All of 2028 is dedicated to running MedSync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2028</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2027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2028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2029 — External market launch:</w:t>
      </w:r>
    </w:p>
    <w:p>
      <w:pPr>
        <w:spacing w:after="60" w:before="40"/>
      </w:pPr>
      <w:r>
        <w:rPr>
          <w:rFonts w:ascii="Arial" w:cs="Arial" w:eastAsia="Arial" w:hAnsi="Arial"/>
          <w:color w:val="4A5568"/>
          <w:sz w:val="20"/>
          <w:szCs w:val="20"/>
        </w:rPr>
        <w:t xml:space="preserve">MedSync enters the external market in 2029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mid-2030 — 18 months from the 2029 external launch. Here are the five strategies that determine whether that timeline holds.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2029,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2030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2029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2030</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2029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2028</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2029</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(2029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