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drawing>
          <wp:inline distT="0" distB="0" distL="0" distR="0">
            <wp:extent cx="857250" cy="571500"/>
            <wp:effectExtent t="0" r="0" b="0" l="0"/>
            <wp:docPr id="1" name="MedSync Logo" descr="MedSync pill icon" title="MedSyn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571500"/>
                    </a:xfrm>
                    <a:prstGeom prst="rect">
                      <a:avLst/>
                    </a:prstGeom>
                  </pic:spPr>
                </pic:pic>
              </a:graphicData>
            </a:graphic>
          </wp:inline>
        </w:drawing>
      </w:r>
    </w:p>
    <w:p>
      <w:pPr>
        <w:spacing w:after="40" w:before="0"/>
        <w:jc w:val="center"/>
      </w:pPr>
      <w:r>
        <w:rPr>
          <w:rFonts w:ascii="Arial" w:cs="Arial" w:eastAsia="Arial" w:hAnsi="Arial"/>
          <w:b/>
          <w:bCs/>
          <w:color w:val="1B3A5C"/>
          <w:sz w:val="56"/>
          <w:szCs w:val="56"/>
        </w:rPr>
        <w:t xml:space="preserve">Med</w:t>
      </w:r>
      <w:r>
        <w:rPr>
          <w:rFonts w:ascii="Arial" w:cs="Arial" w:eastAsia="Arial" w:hAnsi="Arial"/>
          <w:b/>
          <w:bCs/>
          <w:color w:val="C49A2D"/>
          <w:sz w:val="56"/>
          <w:szCs w:val="56"/>
        </w:rPr>
        <w:t xml:space="preserve">Sync</w:t>
      </w:r>
    </w:p>
    <w:p>
      <w:pPr>
        <w:spacing w:after="60" w:before="0"/>
        <w:jc w:val="center"/>
      </w:pPr>
      <w:r>
        <w:rPr>
          <w:rFonts w:ascii="Arial" w:cs="Arial" w:eastAsia="Arial" w:hAnsi="Arial"/>
          <w:color w:val="444444"/>
          <w:sz w:val="28"/>
          <w:szCs w:val="28"/>
        </w:rPr>
        <w:t xml:space="preserve">Software License Term Sheet</w:t>
      </w:r>
    </w:p>
    <w:p>
      <w:pPr>
        <w:spacing w:after="40" w:before="0"/>
        <w:jc w:val="center"/>
      </w:pPr>
      <w:r>
        <w:rPr>
          <w:rFonts w:ascii="Arial" w:cs="Arial" w:eastAsia="Arial" w:hAnsi="Arial"/>
          <w:i/>
          <w:iCs/>
          <w:color w:val="888888"/>
          <w:sz w:val="20"/>
          <w:szCs w:val="20"/>
        </w:rPr>
        <w:t xml:space="preserve">June 2026  |  Draft for Discussion</w:t>
      </w:r>
    </w:p>
    <w:p>
      <w:pPr>
        <w:pBdr>
          <w:bottom w:val="single" w:color="1B3A5C" w:sz="6" w:space="6"/>
        </w:pBdr>
        <w:spacing w:after="320" w:before="40"/>
        <w:jc w:val="center"/>
      </w:pPr>
      <w:r>
        <w:rPr>
          <w:rFonts w:ascii="Arial" w:cs="Arial" w:eastAsia="Arial" w:hAnsi="Arial"/>
          <w:b/>
          <w:bCs/>
          <w:color w:val="1B3A5C"/>
          <w:sz w:val="18"/>
          <w:szCs w:val="18"/>
        </w:rPr>
        <w:t xml:space="preserve">CONFIDENTIAL</w:t>
      </w:r>
    </w:p>
    <w:p>
      <w:pPr>
        <w:spacing w:after="80" w:before="80"/>
      </w:pPr>
      <w:r>
        <w:rPr>
          <w:rFonts w:ascii="Arial" w:cs="Arial" w:eastAsia="Arial" w:hAnsi="Arial"/>
          <w:sz w:val="22"/>
          <w:szCs w:val="22"/>
        </w:rPr>
        <w:t xml:space="preserve">This term sheet sets out the proposed terms under which Megan Henley ("Licensor"), as the individual developer and sole owner of the MedSync veterinary inventory management platform, would license MedSync to Scout Care ("Licensee") and describes the separate developer compensation arrangement with Thurlow Veterinary Services Inc. This document is non-binding and intended as a basis for negotiation and formal agreement.</w:t>
      </w:r>
    </w:p>
    <w:p>
      <w:pPr>
        <w:spacing w:after="60" w:before="60"/>
      </w:pPr>
      <w:r>
        <w:t xml:space="preserve"/>
      </w:r>
    </w:p>
    <w:p>
      <w:pPr>
        <w:pBdr>
          <w:bottom w:val="single" w:color="1B3A5C" w:sz="4" w:space="4"/>
        </w:pBdr>
        <w:spacing w:after="100" w:before="280"/>
      </w:pPr>
      <w:r>
        <w:rPr>
          <w:rFonts w:ascii="Arial" w:cs="Arial" w:eastAsia="Arial" w:hAnsi="Arial"/>
          <w:b/>
          <w:bCs/>
          <w:color w:val="1B3A5C"/>
          <w:sz w:val="22"/>
          <w:szCs w:val="22"/>
        </w:rPr>
        <w:t xml:space="preserve">1. 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4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Licensor</w:t>
            </w:r>
          </w:p>
        </w:tc>
        <w:tc>
          <w:tcPr>
            <w:tcW w:type="dxa" w:w="6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Megan Henley, individual — developer and sole owner of the MedSync platform and all associated intellectual property.</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Licensee</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Scout Care — multi-location veterinary practice.</w:t>
            </w:r>
          </w:p>
        </w:tc>
      </w:tr>
      <w:tr>
        <w:tc>
          <w:tcPr>
            <w:tcW w:type="dxa" w:w="2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Operator</w:t>
            </w:r>
          </w:p>
        </w:tc>
        <w:tc>
          <w:tcPr>
            <w:tcW w:type="dxa" w:w="6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Thurlow Veterinary Services Inc. — parent organization of Scout Care and counterparty to the developer compensation arrangement in Section 11.</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Relationship</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Licensor and Licensee are separate legal parties. This agreement does not create an employment, partnership, or joint venture relationship beyond what is explicitly described herein.</w:t>
            </w:r>
          </w:p>
        </w:tc>
      </w:tr>
    </w:tbl>
    <w:p>
      <w:pPr>
        <w:spacing w:after="60" w:before="60"/>
      </w:pPr>
      <w:r>
        <w:t xml:space="preserve"/>
      </w:r>
    </w:p>
    <w:p>
      <w:pPr>
        <w:pBdr>
          <w:bottom w:val="single" w:color="1B3A5C" w:sz="4" w:space="4"/>
        </w:pBdr>
        <w:spacing w:after="100" w:before="280"/>
      </w:pPr>
      <w:r>
        <w:rPr>
          <w:rFonts w:ascii="Arial" w:cs="Arial" w:eastAsia="Arial" w:hAnsi="Arial"/>
          <w:b/>
          <w:bCs/>
          <w:color w:val="1B3A5C"/>
          <w:sz w:val="22"/>
          <w:szCs w:val="22"/>
        </w:rPr>
        <w:t xml:space="preserve">2. SOFTWARE &amp; IP OWNERSHIP</w:t>
      </w:r>
    </w:p>
    <w:p>
      <w:pPr>
        <w:spacing w:after="80" w:before="80"/>
      </w:pPr>
      <w:r>
        <w:rPr>
          <w:rFonts w:ascii="Arial" w:cs="Arial" w:eastAsia="Arial" w:hAnsi="Arial"/>
          <w:sz w:val="22"/>
          <w:szCs w:val="22"/>
        </w:rPr>
        <w:t xml:space="preserve">MedSync is a proprietary cloud-based veterinary inventory management platform developed solely by Megan Henley. It includes inventory tracking, procurement, goods lost reporting, cycle counts, receiving, user management, and multi-location analytics.</w:t>
      </w:r>
    </w:p>
    <w:p>
      <w:pPr>
        <w:spacing w:after="60" w:before="60"/>
      </w:pPr>
      <w:r>
        <w:t xml:space="preserve"/>
      </w:r>
    </w:p>
    <w:p>
      <w:pPr>
        <w:spacing w:after="80" w:before="80"/>
      </w:pPr>
      <w:r>
        <w:rPr>
          <w:rFonts w:ascii="Arial" w:cs="Arial" w:eastAsia="Arial" w:hAnsi="Arial"/>
          <w:i/>
          <w:iCs/>
          <w:sz w:val="22"/>
          <w:szCs w:val="22"/>
        </w:rPr>
        <w:t xml:space="preserve">MedSync was developed independently by the Licensor. The use of Scout Care operational data during development for testing and calibration does not transfer any ownership interest in the software to Scout Care or Thurlow Veterinary Services Inc. All intellectual property in MedSync — including source code, design, workflows, and data models — remains the sole property of Megan Henley, regardless of any compensation paid under Section 11.</w:t>
      </w:r>
    </w:p>
    <w:p>
      <w:pPr>
        <w:spacing w:after="60" w:before="60"/>
      </w:pPr>
      <w:r>
        <w:t xml:space="preserve"/>
      </w:r>
    </w:p>
    <w:p>
      <w:pPr>
        <w:pBdr>
          <w:bottom w:val="single" w:color="1B3A5C" w:sz="4" w:space="4"/>
        </w:pBdr>
        <w:spacing w:after="100" w:before="280"/>
      </w:pPr>
      <w:r>
        <w:rPr>
          <w:rFonts w:ascii="Arial" w:cs="Arial" w:eastAsia="Arial" w:hAnsi="Arial"/>
          <w:b/>
          <w:bCs/>
          <w:color w:val="1B3A5C"/>
          <w:sz w:val="22"/>
          <w:szCs w:val="22"/>
        </w:rPr>
        <w:t xml:space="preserve">3. LICENSE GRANT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4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Type</w:t>
            </w:r>
          </w:p>
        </w:tc>
        <w:tc>
          <w:tcPr>
            <w:tcW w:type="dxa" w:w="6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Non-exclusive, non-transferable, non-sublicensable software license.</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Scope</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Licensed for use by Scout Care staff across all current Scout Care locations. Use by affiliated or acquired practices requires a separate written amendment.</w:t>
            </w:r>
          </w:p>
        </w:tc>
      </w:tr>
      <w:tr>
        <w:tc>
          <w:tcPr>
            <w:tcW w:type="dxa" w:w="2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Restrictions</w:t>
            </w:r>
          </w:p>
        </w:tc>
        <w:tc>
          <w:tcPr>
            <w:tcW w:type="dxa" w:w="6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Licensee may not reverse engineer, copy, resell, sublicense, or distribute the software. Licensee may not represent MedSync as its own product.</w:t>
            </w:r>
          </w:p>
        </w:tc>
      </w:tr>
    </w:tbl>
    <w:p>
      <w:pPr>
        <w:spacing w:after="60" w:before="60"/>
      </w:pPr>
      <w:r>
        <w:t xml:space="preserve"/>
      </w:r>
    </w:p>
    <w:p>
      <w:pPr>
        <w:pBdr>
          <w:bottom w:val="single" w:color="1B3A5C" w:sz="4" w:space="4"/>
        </w:pBdr>
        <w:spacing w:after="100" w:before="280"/>
      </w:pPr>
      <w:r>
        <w:rPr>
          <w:rFonts w:ascii="Arial" w:cs="Arial" w:eastAsia="Arial" w:hAnsi="Arial"/>
          <w:b/>
          <w:bCs/>
          <w:color w:val="1B3A5C"/>
          <w:sz w:val="22"/>
          <w:szCs w:val="22"/>
        </w:rPr>
        <w:t xml:space="preserve">4. FEES &amp; PAYMENT</w:t>
      </w:r>
    </w:p>
    <w:p>
      <w:pPr>
        <w:spacing w:after="80" w:before="80"/>
      </w:pPr>
      <w:r>
        <w:rPr>
          <w:rFonts w:ascii="Arial" w:cs="Arial" w:eastAsia="Arial" w:hAnsi="Arial"/>
          <w:sz w:val="22"/>
          <w:szCs w:val="22"/>
        </w:rPr>
        <w:t xml:space="preserve">Two pricing scenarios apply depending on the outcome of the partnership and investment discussion. Scenario A applies if Scout Care and Licensor enter a formal investment or partnership agreement. Scenario B applies if Scout Care continues as a standard licensee only.</w:t>
      </w:r>
    </w:p>
    <w:p>
      <w:pPr>
        <w:spacing w:after="60" w:before="60"/>
      </w:pPr>
      <w:r>
        <w:t xml:space="preserve"/>
      </w:r>
    </w:p>
    <w:p>
      <w:pPr>
        <w:spacing w:after="80" w:before="80"/>
      </w:pPr>
      <w:r>
        <w:rPr>
          <w:rFonts w:ascii="Arial" w:cs="Arial" w:eastAsia="Arial" w:hAnsi="Arial"/>
          <w:b/>
          <w:bCs/>
          <w:color w:val="1B3A5C"/>
          <w:sz w:val="22"/>
          <w:szCs w:val="22"/>
        </w:rPr>
        <w:t xml:space="preserve">SCENARIO A — Partnership / Investment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4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Scout Preferred Rate</w:t>
            </w:r>
          </w:p>
        </w:tc>
        <w:tc>
          <w:tcPr>
            <w:tcW w:type="dxa" w:w="6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$149/month flat — covers all Scout Care locations regardless of location count, in perpetuity. Rate does not increase as Scout adds locations.</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Enrollment Fee</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Waived in full as the founding pilot customer.</w:t>
            </w:r>
          </w:p>
        </w:tc>
      </w:tr>
      <w:tr>
        <w:tc>
          <w:tcPr>
            <w:tcW w:type="dxa" w:w="2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Billing</w:t>
            </w:r>
          </w:p>
        </w:tc>
        <w:tc>
          <w:tcPr>
            <w:tcW w:type="dxa" w:w="6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Monthly or annual. Annual billing preferred.</w:t>
            </w:r>
          </w:p>
        </w:tc>
      </w:tr>
    </w:tbl>
    <w:p>
      <w:pPr>
        <w:spacing w:after="60" w:before="60"/>
      </w:pPr>
      <w:r>
        <w:t xml:space="preserve"/>
      </w:r>
    </w:p>
    <w:p>
      <w:pPr>
        <w:spacing w:after="80" w:before="80"/>
      </w:pPr>
      <w:r>
        <w:rPr>
          <w:rFonts w:ascii="Arial" w:cs="Arial" w:eastAsia="Arial" w:hAnsi="Arial"/>
          <w:b/>
          <w:bCs/>
          <w:color w:val="1B3A5C"/>
          <w:sz w:val="22"/>
          <w:szCs w:val="22"/>
        </w:rPr>
        <w:t xml:space="preserve">SCENARIO B — License Only (No Investment)</w:t>
      </w:r>
    </w:p>
    <w:p>
      <w:pPr>
        <w:spacing w:after="60" w:before="60"/>
      </w:pPr>
      <w:r>
        <w:t xml:space="preserve"/>
      </w:r>
    </w:p>
    <w:p>
      <w:pPr>
        <w:spacing w:after="80" w:before="80"/>
      </w:pPr>
      <w:r>
        <w:rPr>
          <w:rFonts w:ascii="Arial" w:cs="Arial" w:eastAsia="Arial" w:hAnsi="Arial"/>
          <w:sz w:val="22"/>
          <w:szCs w:val="22"/>
        </w:rPr>
        <w:t xml:space="preserve">Scout Care receives a permanent 20% pilot discount off standard market rates in recognition of serving as the founding pilot hospital group. Applicable rates after discount: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4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Solo practice (1 location)</w:t>
            </w:r>
          </w:p>
        </w:tc>
        <w:tc>
          <w:tcPr>
            <w:tcW w:type="dxa" w:w="6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Standard $149/mo → Pilot rate $119/month ($1,428/yr)</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Small group (2–3 locations)</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Standard $249/mo → Pilot rate $199/month ($2,388/yr)</w:t>
            </w:r>
          </w:p>
        </w:tc>
      </w:tr>
      <w:tr>
        <w:tc>
          <w:tcPr>
            <w:tcW w:type="dxa" w:w="2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Mid group (4–6 locations)</w:t>
            </w:r>
          </w:p>
        </w:tc>
        <w:tc>
          <w:tcPr>
            <w:tcW w:type="dxa" w:w="6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Standard $349/mo → Pilot rate $279/month ($3,348/yr)</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Large group (7–12 locations)</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Standard $449/mo → Pilot rate $359/month ($4,308/yr)</w:t>
            </w:r>
          </w:p>
        </w:tc>
      </w:tr>
      <w:tr>
        <w:tc>
          <w:tcPr>
            <w:tcW w:type="dxa" w:w="2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Enterprise (13+ locations)</w:t>
            </w:r>
          </w:p>
        </w:tc>
        <w:tc>
          <w:tcPr>
            <w:tcW w:type="dxa" w:w="6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Custom pricing with 20% pilot discount applied to negotiated rate.</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Enrollment Fee</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$500 one-time fee. Waived as the founding customer.</w:t>
            </w:r>
          </w:p>
        </w:tc>
      </w:tr>
      <w:tr>
        <w:tc>
          <w:tcPr>
            <w:tcW w:type="dxa" w:w="2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Billing</w:t>
            </w:r>
          </w:p>
        </w:tc>
        <w:tc>
          <w:tcPr>
            <w:tcW w:type="dxa" w:w="6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Monthly or annual. Annual billing preferred.</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Discount Duration</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Permanent — the 20% pilot discount applies for the lifetime of the license in recognition of Scout Care as the founding pilot hospital group.</w:t>
            </w:r>
          </w:p>
        </w:tc>
      </w:tr>
    </w:tbl>
    <w:p>
      <w:pPr>
        <w:spacing w:after="60" w:before="60"/>
      </w:pPr>
      <w:r>
        <w:t xml:space="preserve"/>
      </w:r>
    </w:p>
    <w:p>
      <w:pPr>
        <w:pBdr>
          <w:bottom w:val="single" w:color="1B3A5C" w:sz="4" w:space="4"/>
        </w:pBdr>
        <w:spacing w:after="100" w:before="280"/>
      </w:pPr>
      <w:r>
        <w:rPr>
          <w:rFonts w:ascii="Arial" w:cs="Arial" w:eastAsia="Arial" w:hAnsi="Arial"/>
          <w:b/>
          <w:bCs/>
          <w:color w:val="1B3A5C"/>
          <w:sz w:val="22"/>
          <w:szCs w:val="22"/>
        </w:rPr>
        <w:t xml:space="preserve">5. TERM &amp; RENEWAL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4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Initial Term</w:t>
            </w:r>
          </w:p>
        </w:tc>
        <w:tc>
          <w:tcPr>
            <w:tcW w:type="dxa" w:w="6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12 months from the date of execution.</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Renewal</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Auto-renews for successive 12-month terms unless either party provides 60 days written notice of non-renewal.</w:t>
            </w:r>
          </w:p>
        </w:tc>
      </w:tr>
      <w:tr>
        <w:tc>
          <w:tcPr>
            <w:tcW w:type="dxa" w:w="2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Termination</w:t>
            </w:r>
          </w:p>
        </w:tc>
        <w:tc>
          <w:tcPr>
            <w:tcW w:type="dxa" w:w="6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Either party may terminate with 60 days written notice. Licensor may terminate immediately for material breach, non-payment, or misuse.</w:t>
            </w:r>
          </w:p>
        </w:tc>
      </w:tr>
    </w:tbl>
    <w:p>
      <w:pPr>
        <w:spacing w:after="60" w:before="60"/>
      </w:pPr>
      <w:r>
        <w:t xml:space="preserve"/>
      </w:r>
    </w:p>
    <w:p>
      <w:pPr>
        <w:pBdr>
          <w:bottom w:val="single" w:color="1B3A5C" w:sz="4" w:space="4"/>
        </w:pBdr>
        <w:spacing w:after="100" w:before="280"/>
      </w:pPr>
      <w:r>
        <w:rPr>
          <w:rFonts w:ascii="Arial" w:cs="Arial" w:eastAsia="Arial" w:hAnsi="Arial"/>
          <w:b/>
          <w:bCs/>
          <w:color w:val="1B3A5C"/>
          <w:sz w:val="22"/>
          <w:szCs w:val="22"/>
        </w:rPr>
        <w:t xml:space="preserve">6.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4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Licensee Data</w:t>
            </w:r>
          </w:p>
        </w:tc>
        <w:tc>
          <w:tcPr>
            <w:tcW w:type="dxa" w:w="6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All operational data entered by Scout Care into MedSync remains the property of Scout Care. Licensor will not sell or share this data with third parties.</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Licensor Use</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Licensor may use aggregated, de-identified usage data for product development and benchmarking.</w:t>
            </w:r>
          </w:p>
        </w:tc>
      </w:tr>
      <w:tr>
        <w:tc>
          <w:tcPr>
            <w:tcW w:type="dxa" w:w="2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On Termination</w:t>
            </w:r>
          </w:p>
        </w:tc>
        <w:tc>
          <w:tcPr>
            <w:tcW w:type="dxa" w:w="6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Licensor will provide Licensee with a full data export within 30 days of termination.</w:t>
            </w:r>
          </w:p>
        </w:tc>
      </w:tr>
    </w:tbl>
    <w:p>
      <w:pPr>
        <w:spacing w:after="60" w:before="60"/>
      </w:pPr>
      <w:r>
        <w:t xml:space="preserve"/>
      </w:r>
    </w:p>
    <w:p>
      <w:pPr>
        <w:pBdr>
          <w:bottom w:val="single" w:color="1B3A5C" w:sz="4" w:space="4"/>
        </w:pBdr>
        <w:spacing w:after="100" w:before="280"/>
      </w:pPr>
      <w:r>
        <w:rPr>
          <w:rFonts w:ascii="Arial" w:cs="Arial" w:eastAsia="Arial" w:hAnsi="Arial"/>
          <w:b/>
          <w:bCs/>
          <w:color w:val="1B3A5C"/>
          <w:sz w:val="22"/>
          <w:szCs w:val="22"/>
        </w:rPr>
        <w:t xml:space="preserve">7. SUPPORT &amp; MAINTENANCE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4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Support</w:t>
            </w:r>
          </w:p>
        </w:tc>
        <w:tc>
          <w:tcPr>
            <w:tcW w:type="dxa" w:w="6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Licensor will provide reasonable support for bugs and platform issues. Response time targets to be defined in the final agreement.</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Updates</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Licensee receives all platform updates and new features at no additional charge during the term.</w:t>
            </w:r>
          </w:p>
        </w:tc>
      </w:tr>
    </w:tbl>
    <w:p>
      <w:pPr>
        <w:spacing w:after="60" w:before="60"/>
      </w:pPr>
      <w:r>
        <w:t xml:space="preserve"/>
      </w:r>
    </w:p>
    <w:p>
      <w:pPr>
        <w:pBdr>
          <w:bottom w:val="single" w:color="1B3A5C" w:sz="4" w:space="4"/>
        </w:pBdr>
        <w:spacing w:after="100" w:before="280"/>
      </w:pPr>
      <w:r>
        <w:rPr>
          <w:rFonts w:ascii="Arial" w:cs="Arial" w:eastAsia="Arial" w:hAnsi="Arial"/>
          <w:b/>
          <w:bCs/>
          <w:color w:val="1B3A5C"/>
          <w:sz w:val="22"/>
          <w:szCs w:val="22"/>
        </w:rPr>
        <w:t xml:space="preserve">8. LIABILITY &amp; WARRANTIES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4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Warranty</w:t>
            </w:r>
          </w:p>
        </w:tc>
        <w:tc>
          <w:tcPr>
            <w:tcW w:type="dxa" w:w="6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Licensor warrants the right to license the software and that it does not knowingly infringe third-party intellectual property.</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Limitation</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Licensor liability shall not exceed total fees paid in the preceding 3 months. Neither party is liable for indirect or consequential damages.</w:t>
            </w:r>
          </w:p>
        </w:tc>
      </w:tr>
      <w:tr>
        <w:tc>
          <w:tcPr>
            <w:tcW w:type="dxa" w:w="2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No Medical Warranty</w:t>
            </w:r>
          </w:p>
        </w:tc>
        <w:tc>
          <w:tcPr>
            <w:tcW w:type="dxa" w:w="6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MedSync is an inventory management tool and does not constitute veterinary, pharmaceutical, or regulatory advice.</w:t>
            </w:r>
          </w:p>
        </w:tc>
      </w:tr>
    </w:tbl>
    <w:p>
      <w:pPr>
        <w:spacing w:after="60" w:before="60"/>
      </w:pPr>
      <w:r>
        <w:t xml:space="preserve"/>
      </w:r>
    </w:p>
    <w:p>
      <w:pPr>
        <w:pBdr>
          <w:bottom w:val="single" w:color="1B3A5C" w:sz="4" w:space="4"/>
        </w:pBdr>
        <w:spacing w:after="100" w:before="280"/>
      </w:pPr>
      <w:r>
        <w:rPr>
          <w:rFonts w:ascii="Arial" w:cs="Arial" w:eastAsia="Arial" w:hAnsi="Arial"/>
          <w:b/>
          <w:bCs/>
          <w:color w:val="1B3A5C"/>
          <w:sz w:val="22"/>
          <w:szCs w:val="22"/>
        </w:rPr>
        <w:t xml:space="preserve">9. SCOUT AS FOUNDING CUSTOMER</w:t>
      </w:r>
    </w:p>
    <w:p>
      <w:pPr>
        <w:spacing w:after="80" w:before="80"/>
      </w:pPr>
      <w:r>
        <w:rPr>
          <w:rFonts w:ascii="Arial" w:cs="Arial" w:eastAsia="Arial" w:hAnsi="Arial"/>
          <w:sz w:val="22"/>
          <w:szCs w:val="22"/>
        </w:rPr>
        <w:t xml:space="preserve">Scout Care is the founding pilot customer of MedSync. Regardless of the investment outcome, Scout Care retains permanent pricing recognition for this role (as defined in Section 4). Scout Care acknowledges that MedSync is the original intellectual property of Megan Henley. Founding customer status does not constitute ownership, equity, or co-development rights in MedSync.</w:t>
      </w:r>
    </w:p>
    <w:p>
      <w:pPr>
        <w:spacing w:after="60" w:before="60"/>
      </w:pPr>
      <w:r>
        <w:t xml:space="preserve"/>
      </w:r>
    </w:p>
    <w:p>
      <w:pPr>
        <w:pBdr>
          <w:bottom w:val="single" w:color="1B3A5C" w:sz="4" w:space="4"/>
        </w:pBdr>
        <w:spacing w:after="100" w:before="280"/>
      </w:pPr>
      <w:r>
        <w:rPr>
          <w:rFonts w:ascii="Arial" w:cs="Arial" w:eastAsia="Arial" w:hAnsi="Arial"/>
          <w:b/>
          <w:bCs/>
          <w:color w:val="1B3A5C"/>
          <w:sz w:val="22"/>
          <w:szCs w:val="22"/>
        </w:rPr>
        <w:t xml:space="preserve">10.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4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Governing Law</w:t>
            </w:r>
          </w:p>
        </w:tc>
        <w:tc>
          <w:tcPr>
            <w:tcW w:type="dxa" w:w="6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[State] — to be agreed upon in the final agreement.</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Entire Agreement</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This term sheet will be superseded by a formal signed license agreement.</w:t>
            </w:r>
          </w:p>
        </w:tc>
      </w:tr>
      <w:tr>
        <w:tc>
          <w:tcPr>
            <w:tcW w:type="dxa" w:w="2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Amendments</w:t>
            </w:r>
          </w:p>
        </w:tc>
        <w:tc>
          <w:tcPr>
            <w:tcW w:type="dxa" w:w="6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Any changes to the final agreement must be in writing and signed by both parties.</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Confidentiality</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Both parties agree to keep the terms of this agreement confidential.</w:t>
            </w:r>
          </w:p>
        </w:tc>
      </w:tr>
    </w:tbl>
    <w:p>
      <w:pPr>
        <w:spacing w:after="60" w:before="60"/>
      </w:pPr>
      <w:r>
        <w:t xml:space="preserve"/>
      </w:r>
    </w:p>
    <w:p>
      <w:pPr>
        <w:pBdr>
          <w:bottom w:val="single" w:color="1B3A5C" w:sz="4" w:space="4"/>
        </w:pBdr>
        <w:spacing w:after="100" w:before="280"/>
      </w:pPr>
      <w:r>
        <w:rPr>
          <w:rFonts w:ascii="Arial" w:cs="Arial" w:eastAsia="Arial" w:hAnsi="Arial"/>
          <w:b/>
          <w:bCs/>
          <w:color w:val="1B3A5C"/>
          <w:sz w:val="22"/>
          <w:szCs w:val="22"/>
        </w:rPr>
        <w:t xml:space="preserve">11. DEVELOPER COMPENSATION &amp; PILOT PERIOD (THURLOW VETERINARY SERVICES INC.)</w:t>
      </w:r>
    </w:p>
    <w:p>
      <w:pPr>
        <w:spacing w:after="80" w:before="80"/>
      </w:pPr>
      <w:r>
        <w:rPr>
          <w:rFonts w:ascii="Arial" w:cs="Arial" w:eastAsia="Arial" w:hAnsi="Arial"/>
          <w:sz w:val="22"/>
          <w:szCs w:val="22"/>
        </w:rPr>
        <w:t xml:space="preserve">This section governs compensation paid directly by Thurlow Veterinary Services Inc. to Megan Henley for her ongoing development, maintenance, and operational support of MedSync during the Scout pilot period. This arrangement is separate from and independent of the license fee paid by Scout Care under Section 4.</w:t>
      </w:r>
    </w:p>
    <w:p>
      <w:pPr>
        <w:spacing w:after="60" w:before="60"/>
      </w:pPr>
      <w:r>
        <w:t xml:space="preserve"/>
      </w:r>
    </w:p>
    <w:p>
      <w:pPr>
        <w:spacing w:after="80" w:before="80"/>
      </w:pPr>
      <w:r>
        <w:rPr>
          <w:rFonts w:ascii="Arial" w:cs="Arial" w:eastAsia="Arial" w:hAnsi="Arial"/>
          <w:i/>
          <w:iCs/>
          <w:sz w:val="22"/>
          <w:szCs w:val="22"/>
        </w:rPr>
        <w:t xml:space="preserve">Rationale: The license fee compensates the software. This retainer compensates Megan Henley personally for the time, expertise, and continued development work required to build, maintain, and support MedSync as a functioning platform during the pilot. These are two distinct obligations.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4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Pilot Period</w:t>
            </w:r>
          </w:p>
        </w:tc>
        <w:tc>
          <w:tcPr>
            <w:tcW w:type="dxa" w:w="6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12 months from the date of execution — running concurrent with the initial license term in Section 5. Designed to capture a full seasonal cycle across all Scout Care locations, producing a complete dataset for ROI validation, COGs trending, and procurement analysis.</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6-Month Review</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At the 6-month mark, Licensor and Thurlow Veterinary Services Inc. will conduct a formal 30-day review to assess platform performance, team adoption, and ROI progress. Both parties may surface issues, request adjustments, or confirm continuation. This review does not automatically trigger termination but provides a structured checkpoint before the pilot concludes.</w:t>
            </w:r>
          </w:p>
        </w:tc>
      </w:tr>
      <w:tr>
        <w:tc>
          <w:tcPr>
            <w:tcW w:type="dxa" w:w="2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Pilot Outcomes</w:t>
            </w:r>
          </w:p>
        </w:tc>
        <w:tc>
          <w:tcPr>
            <w:tcW w:type="dxa" w:w="6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At the close of the 12-month pilot, both parties will document outcomes — including COGs improvement, procurement savings, stockouts avoided, and staff adoption metrics — as the basis for renewing, formalizing, or renegotiating the relationship.</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Retainer — Pilot Period</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$3,000–$5,000/month paid by Thurlow Veterinary Services Inc. to Megan Henley, covering ongoing development, bug fixes, feature work, staff support, and platform maintenance for Scout. Exact amount to be negotiated.</w:t>
            </w:r>
          </w:p>
        </w:tc>
      </w:tr>
      <w:tr>
        <w:tc>
          <w:tcPr>
            <w:tcW w:type="dxa" w:w="2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Step-Up — Investment Scenario</w:t>
            </w:r>
          </w:p>
        </w:tc>
        <w:tc>
          <w:tcPr>
            <w:tcW w:type="dxa" w:w="6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If a formal investment or partnership agreement is executed (Scenario A), the retainer steps up to $75,000/year ($6,250/month) reflecting the full CPO compensation rate established in the MedSync executive summary.</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COD Salary</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Megan Henley's existing Thurlow COD salary continues independently and is not reduced or offset by this retainer.</w:t>
            </w:r>
          </w:p>
        </w:tc>
      </w:tr>
      <w:tr>
        <w:tc>
          <w:tcPr>
            <w:tcW w:type="dxa" w:w="2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Equity</w:t>
            </w:r>
          </w:p>
        </w:tc>
        <w:tc>
          <w:tcPr>
            <w:tcW w:type="dxa" w:w="6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In the investment scenario, Megan Henley receives 38% equity in MedSync Solutions Co., consistent with the executive summary. Equity is not granted under the license-only scenario unless separately negotiated.</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IP Separation</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All work performed under this retainer remains the intellectual property of Megan Henley. Payment of this retainer by Thurlow does not create any ownership, co-authorship, or IP claim by Thurlow Veterinary Services Inc. or Scout Care over MedSync or any component thereof.</w:t>
            </w:r>
          </w:p>
        </w:tc>
      </w:tr>
      <w:tr>
        <w:tc>
          <w:tcPr>
            <w:tcW w:type="dxa" w:w="2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Invoicing</w:t>
            </w:r>
          </w:p>
        </w:tc>
        <w:tc>
          <w:tcPr>
            <w:tcW w:type="dxa" w:w="6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Megan Henley will invoice Thurlow Veterinary Services Inc. monthly. Payment due within 15 days of invoice.</w:t>
            </w:r>
          </w:p>
        </w:tc>
      </w:tr>
    </w:tbl>
    <w:p>
      <w:pPr>
        <w:spacing w:after="60" w:before="60"/>
      </w:pPr>
      <w:r>
        <w:t xml:space="preserve"/>
      </w:r>
    </w:p>
    <w:p>
      <w:pPr>
        <w:pBdr>
          <w:bottom w:val="single" w:color="1B3A5C" w:sz="4" w:space="4"/>
        </w:pBdr>
        <w:spacing w:after="100" w:before="280"/>
      </w:pPr>
      <w:r>
        <w:rPr>
          <w:rFonts w:ascii="Arial" w:cs="Arial" w:eastAsia="Arial" w:hAnsi="Arial"/>
          <w:b/>
          <w:bCs/>
          <w:color w:val="1B3A5C"/>
          <w:sz w:val="22"/>
          <w:szCs w:val="22"/>
        </w:rPr>
        <w:t xml:space="preserve">SIGNATURES</w:t>
      </w:r>
    </w:p>
    <w:p>
      <w:pPr>
        <w:spacing w:after="80" w:before="80"/>
      </w:pPr>
      <w:r>
        <w:rPr>
          <w:rFonts w:ascii="Arial" w:cs="Arial" w:eastAsia="Arial" w:hAnsi="Arial"/>
          <w:sz w:val="22"/>
          <w:szCs w:val="22"/>
        </w:rPr>
        <w:t xml:space="preserve">By signing below, all parties indicate their intent to negotiate formal agreements on terms consistent with this term sheet.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720"/>
        <w:gridCol w:w="4320"/>
      </w:tblGrid>
      <w:tr>
        <w:tc>
          <w:tcPr>
            <w:tcW w:type="dxa" w:w="4320"/>
            <w:tcBorders>
              <w:top w:val="none" w:color="FFFFFF" w:sz="0"/>
              <w:left w:val="none" w:color="FFFFFF" w:sz="0"/>
              <w:bottom w:val="none" w:color="FFFFFF" w:sz="0"/>
              <w:right w:val="none" w:color="FFFFFF" w:sz="0"/>
            </w:tcBorders>
          </w:tcPr>
          <w:p>
            <w:pPr>
              <w:pBdr>
                <w:bottom w:val="single" w:color="333333" w:sz="2" w:space="2"/>
              </w:pBdr>
              <w:spacing w:after="40" w:before="200"/>
            </w:pPr>
            <w:r>
              <w:rPr>
                <w:rFonts w:ascii="Arial" w:cs="Arial" w:eastAsia="Arial" w:hAnsi="Arial"/>
                <w:sz w:val="22"/>
                <w:szCs w:val="22"/>
              </w:rPr>
              <w:t xml:space="preserve"/>
            </w:r>
          </w:p>
          <w:p>
            <w:pPr>
              <w:spacing w:after="40" w:before="60"/>
            </w:pPr>
            <w:r>
              <w:rPr>
                <w:rFonts w:ascii="Arial" w:cs="Arial" w:eastAsia="Arial" w:hAnsi="Arial"/>
                <w:color w:val="555555"/>
                <w:sz w:val="20"/>
                <w:szCs w:val="20"/>
              </w:rPr>
              <w:t xml:space="preserve">Megan Henley — Licensor</w:t>
            </w:r>
          </w:p>
          <w:p>
            <w:pPr>
              <w:spacing w:after="120" w:before="0"/>
            </w:pPr>
            <w:r>
              <w:rPr>
                <w:rFonts w:ascii="Arial" w:cs="Arial" w:eastAsia="Arial" w:hAnsi="Arial"/>
                <w:sz w:val="20"/>
                <w:szCs w:val="20"/>
              </w:rPr>
              <w:t xml:space="preserve">Date: _______________________</w:t>
            </w:r>
          </w:p>
        </w:tc>
        <w:tc>
          <w:tcPr>
            <w:tcW w:type="dxa" w:w="720"/>
            <w:tcBorders>
              <w:top w:val="none" w:color="FFFFFF" w:sz="0"/>
              <w:left w:val="none" w:color="FFFFFF" w:sz="0"/>
              <w:bottom w:val="none" w:color="FFFFFF" w:sz="0"/>
              <w:right w:val="none" w:color="FFFFFF" w:sz="0"/>
            </w:tcBorders>
          </w:tcPr>
          <w:p>
            <w:pPr>
              <w:spacing w:after="60" w:before="60"/>
            </w:pPr>
            <w:r>
              <w:t xml:space="preserve"/>
            </w:r>
          </w:p>
        </w:tc>
        <w:tc>
          <w:tcPr>
            <w:tcW w:type="dxa" w:w="4320"/>
            <w:tcBorders>
              <w:top w:val="none" w:color="FFFFFF" w:sz="0"/>
              <w:left w:val="none" w:color="FFFFFF" w:sz="0"/>
              <w:bottom w:val="none" w:color="FFFFFF" w:sz="0"/>
              <w:right w:val="none" w:color="FFFFFF" w:sz="0"/>
            </w:tcBorders>
          </w:tcPr>
          <w:p>
            <w:pPr>
              <w:pBdr>
                <w:bottom w:val="single" w:color="333333" w:sz="2" w:space="2"/>
              </w:pBdr>
              <w:spacing w:after="40" w:before="200"/>
            </w:pPr>
            <w:r>
              <w:rPr>
                <w:rFonts w:ascii="Arial" w:cs="Arial" w:eastAsia="Arial" w:hAnsi="Arial"/>
                <w:sz w:val="22"/>
                <w:szCs w:val="22"/>
              </w:rPr>
              <w:t xml:space="preserve"/>
            </w:r>
          </w:p>
          <w:p>
            <w:pPr>
              <w:spacing w:after="40" w:before="60"/>
            </w:pPr>
            <w:r>
              <w:rPr>
                <w:rFonts w:ascii="Arial" w:cs="Arial" w:eastAsia="Arial" w:hAnsi="Arial"/>
                <w:color w:val="555555"/>
                <w:sz w:val="20"/>
                <w:szCs w:val="20"/>
              </w:rPr>
              <w:t xml:space="preserve">Authorized Representative — Scout Care / Thurlow Veterinary Services Inc.</w:t>
            </w:r>
          </w:p>
          <w:p>
            <w:pPr>
              <w:spacing w:after="120" w:before="0"/>
            </w:pPr>
            <w:r>
              <w:rPr>
                <w:rFonts w:ascii="Arial" w:cs="Arial" w:eastAsia="Arial" w:hAnsi="Arial"/>
                <w:sz w:val="20"/>
                <w:szCs w:val="20"/>
              </w:rPr>
              <w:t xml:space="preserve">Date: _______________________</w:t>
            </w:r>
          </w:p>
        </w:tc>
      </w:tr>
    </w:tbl>
    <w:p>
      <w:pPr>
        <w:spacing w:after="60" w:before="60"/>
      </w:pPr>
      <w:r>
        <w:t xml:space="preserve"/>
      </w:r>
    </w:p>
    <w:p>
      <w:pPr>
        <w:spacing w:after="0" w:before="200"/>
        <w:jc w:val="center"/>
      </w:pPr>
      <w:r>
        <w:rPr>
          <w:rFonts w:ascii="Arial" w:cs="Arial" w:eastAsia="Arial" w:hAnsi="Arial"/>
          <w:i/>
          <w:iCs/>
          <w:color w:val="888888"/>
          <w:sz w:val="18"/>
          <w:szCs w:val="18"/>
        </w:rPr>
        <w:t xml:space="preserve">THIS IS A NON-BINDING TERM SHEET FOR DISCUSSION PURPOSES ONLY.</w:t>
      </w:r>
    </w:p>
    <w:p>
      <w:pPr>
        <w:jc w:val="center"/>
      </w:pPr>
      <w:r>
        <w:rPr>
          <w:rFonts w:ascii="Arial" w:cs="Arial" w:eastAsia="Arial" w:hAnsi="Arial"/>
          <w:i/>
          <w:iCs/>
          <w:color w:val="888888"/>
          <w:sz w:val="18"/>
          <w:szCs w:val="18"/>
        </w:rPr>
        <w:t xml:space="preserve">Please consult legal counsel before executing any final agreement.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888888"/>
        <w:sz w:val="18"/>
        <w:szCs w:val="18"/>
      </w:rPr>
      <w:t xml:space="preserve">June 2026 — For Discussion Purposes Only</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tabs>
        <w:tab w:val="right" w:pos="9026"/>
      </w:tabs>
    </w:pPr>
    <w:r>
      <w:rPr>
        <w:rFonts w:ascii="Arial" w:cs="Arial" w:eastAsia="Arial" w:hAnsi="Arial"/>
        <w:b/>
        <w:bCs/>
        <w:color w:val="1B3A5C"/>
        <w:sz w:val="20"/>
        <w:szCs w:val="20"/>
      </w:rPr>
      <w:t xml:space="preserve">MedSync Software License Term Sheet</w:t>
    </w:r>
    <w:r>
      <w:rPr>
        <w:rFonts w:ascii="Arial" w:cs="Arial" w:eastAsia="Arial" w:hAnsi="Arial"/>
        <w:color w:val="888888"/>
        <w:sz w:val="18"/>
        <w:szCs w:val="18"/>
      </w:rPr>
      <w:t xml:space="preserve">	CONFIDENTIAL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acefd1514d77612a53d69a03df277d38c4d24f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2026-06-08T18:52:22.056Z</dcterms:created>
  <dcterms:modified xsi:type="dcterms:W3CDTF">2026-06-08T18:52:22.057Z</dcterms:modified>
</cp:coreProperties>
</file>

<file path=docProps/custom.xml><?xml version="1.0" encoding="utf-8"?>
<Properties xmlns="http://schemas.openxmlformats.org/officeDocument/2006/custom-properties" xmlns:vt="http://schemas.openxmlformats.org/officeDocument/2006/docPropsVTypes"/>
</file>