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865"/>
      </w:tblGrid>
      <w:tr w:rsidR="004421DC" w14:paraId="672A6659" w14:textId="77777777">
        <w:tblPrEx>
          <w:tblCellMar>
            <w:top w:w="0" w:type="dxa"/>
            <w:bottom w:w="0" w:type="dxa"/>
          </w:tblCellMar>
        </w:tblPrEx>
        <w:trPr>
          <w:trHeight w:val="170" w:hRule="exact"/>
        </w:trPr>
        <w:tc>
          <w:tcPr>
            <w:tcW w:w="0" w:type="auto"/>
            <w:tcBorders>
              <w:top w:val="none" w:color="FFFFFF" w:sz="0" w:space="0"/>
              <w:left w:val="none" w:color="FFFFFF" w:sz="0" w:space="0"/>
              <w:bottom w:val="none" w:color="FFFFFF" w:sz="0" w:space="0"/>
              <w:right w:val="none" w:color="FFFFFF" w:sz="0" w:space="0"/>
            </w:tcBorders>
            <w:shd w:val="clear" w:color="auto" w:fill="8754E9"/>
          </w:tcPr>
          <w:p w:rsidR="004421DC" w:rsidRDefault="004421DC" w14:paraId="0A37501D" w14:textId="77777777"/>
        </w:tc>
      </w:tr>
    </w:tbl>
    <w:p w:rsidR="004421DC" w:rsidRDefault="004421DC" w14:paraId="5DAB6C7B" w14:textId="77777777">
      <w:pPr>
        <w:spacing w:after="500"/>
      </w:pPr>
    </w:p>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4932"/>
        <w:gridCol w:w="4933"/>
      </w:tblGrid>
      <w:tr w:rsidR="004421DC" w14:paraId="3A594F49" w14:textId="77777777">
        <w:tblPrEx>
          <w:tblCellMar>
            <w:top w:w="0" w:type="dxa"/>
            <w:bottom w:w="0" w:type="dxa"/>
          </w:tblCellMar>
        </w:tblPrEx>
        <w:tc>
          <w:tcPr>
            <w:tcW w:w="2500" w:type="pct"/>
            <w:tcBorders>
              <w:top w:val="none" w:color="FFFFFF" w:sz="0" w:space="0"/>
              <w:left w:val="none" w:color="FFFFFF" w:sz="0" w:space="0"/>
              <w:bottom w:val="none" w:color="FFFFFF" w:sz="0" w:space="0"/>
              <w:right w:val="none" w:color="FFFFFF" w:sz="0" w:space="0"/>
            </w:tcBorders>
            <w:vAlign w:val="center"/>
          </w:tcPr>
          <w:p w:rsidR="004421DC" w:rsidRDefault="00D479E8" w14:paraId="02EB378F" w14:textId="77777777">
            <w:r>
              <w:rPr>
                <w:noProof/>
              </w:rPr>
              <w:drawing>
                <wp:inline distT="0" distB="0" distL="0" distR="0" wp14:anchorId="7E0DAE5A" wp14:editId="07777777">
                  <wp:extent cx="1238250" cy="43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438150"/>
                          </a:xfrm>
                          <a:prstGeom prst="rect">
                            <a:avLst/>
                          </a:prstGeom>
                        </pic:spPr>
                      </pic:pic>
                    </a:graphicData>
                  </a:graphic>
                </wp:inline>
              </w:drawing>
            </w:r>
          </w:p>
        </w:tc>
        <w:tc>
          <w:tcPr>
            <w:tcW w:w="2500" w:type="pct"/>
            <w:tcBorders>
              <w:top w:val="none" w:color="FFFFFF" w:sz="0" w:space="0"/>
              <w:left w:val="none" w:color="FFFFFF" w:sz="0" w:space="0"/>
              <w:bottom w:val="none" w:color="FFFFFF" w:sz="0" w:space="0"/>
              <w:right w:val="none" w:color="FFFFFF" w:sz="0" w:space="0"/>
            </w:tcBorders>
            <w:vAlign w:val="center"/>
          </w:tcPr>
          <w:p w:rsidR="004421DC" w:rsidRDefault="00D479E8" w14:paraId="7039C14F" w14:textId="77777777">
            <w:pPr>
              <w:jc w:val="right"/>
            </w:pPr>
            <w:r>
              <w:rPr>
                <w:b/>
                <w:bCs/>
                <w:color w:val="6B7280"/>
                <w:spacing w:val="30"/>
                <w:sz w:val="18"/>
                <w:szCs w:val="18"/>
              </w:rPr>
              <w:t>EXECUTIVE GUIDE</w:t>
            </w:r>
          </w:p>
        </w:tc>
      </w:tr>
    </w:tbl>
    <w:p w:rsidR="004421DC" w:rsidRDefault="00D479E8" w14:paraId="57EDA9EC" w14:textId="77777777">
      <w:pPr>
        <w:spacing w:before="500" w:after="160"/>
      </w:pPr>
      <w:r w:rsidR="00D479E8">
        <w:rPr>
          <w:b w:val="1"/>
          <w:bCs w:val="1"/>
          <w:color w:val="8754E9"/>
          <w:spacing w:val="24"/>
          <w:sz w:val="20"/>
          <w:szCs w:val="20"/>
        </w:rPr>
        <w:t>DIGITAL TRANSFORMATION</w:t>
      </w:r>
    </w:p>
    <w:p w:rsidR="036FAE13" w:rsidP="7068594A" w:rsidRDefault="036FAE13" w14:paraId="4DA6A1A1" w14:textId="777CF455">
      <w:pPr>
        <w:pStyle w:val="Normal"/>
        <w:spacing w:after="260" w:line="340" w:lineRule="auto"/>
      </w:pPr>
      <w:r w:rsidRPr="7068594A" w:rsidR="036FAE13">
        <w:rPr>
          <w:rFonts w:ascii="Helvetica Neue" w:hAnsi="Helvetica Neue" w:eastAsia="Helvetica Neue" w:cs="Helvetica Neue"/>
          <w:b w:val="1"/>
          <w:bCs w:val="1"/>
          <w:noProof w:val="0"/>
          <w:sz w:val="40"/>
          <w:szCs w:val="40"/>
          <w:lang w:val="en-GB"/>
        </w:rPr>
        <w:t>The Cost of Outdated Systems</w:t>
      </w:r>
      <w:r w:rsidRPr="7068594A" w:rsidR="036FAE13">
        <w:rPr>
          <w:rFonts w:ascii="Helvetica Neue" w:hAnsi="Helvetica Neue" w:eastAsia="Helvetica Neue" w:cs="Helvetica Neue"/>
          <w:noProof w:val="0"/>
          <w:sz w:val="40"/>
          <w:szCs w:val="40"/>
          <w:lang w:val="en-GB"/>
        </w:rPr>
        <w:t xml:space="preserve"> </w:t>
      </w:r>
      <w:r>
        <w:br/>
      </w:r>
      <w:r w:rsidRPr="7068594A" w:rsidR="036FAE13">
        <w:rPr>
          <w:rFonts w:ascii="Helvetica Neue" w:hAnsi="Helvetica Neue" w:eastAsia="Helvetica Neue" w:cs="Helvetica Neue"/>
          <w:noProof w:val="0"/>
          <w:sz w:val="40"/>
          <w:szCs w:val="40"/>
          <w:lang w:val="en-GB"/>
        </w:rPr>
        <w:t>And the Plan to Fix Them</w:t>
      </w:r>
    </w:p>
    <w:tbl>
      <w:tblPr>
        <w:tblW w:w="160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1600"/>
      </w:tblGrid>
      <w:tr w:rsidR="004421DC" w14:paraId="5A39BBE3" w14:textId="77777777">
        <w:tblPrEx>
          <w:tblCellMar>
            <w:top w:w="0" w:type="dxa"/>
            <w:bottom w:w="0" w:type="dxa"/>
          </w:tblCellMar>
        </w:tblPrEx>
        <w:trPr>
          <w:trHeight w:val="80" w:hRule="exact"/>
        </w:trPr>
        <w:tc>
          <w:tcPr>
            <w:tcW w:w="1600" w:type="dxa"/>
            <w:tcBorders>
              <w:top w:val="none" w:color="FFFFFF" w:sz="0" w:space="0"/>
              <w:left w:val="none" w:color="FFFFFF" w:sz="0" w:space="0"/>
              <w:bottom w:val="none" w:color="FFFFFF" w:sz="0" w:space="0"/>
              <w:right w:val="none" w:color="FFFFFF" w:sz="0" w:space="0"/>
            </w:tcBorders>
            <w:shd w:val="clear" w:color="auto" w:fill="8754E9"/>
          </w:tcPr>
          <w:p w:rsidR="004421DC" w:rsidRDefault="004421DC" w14:paraId="41C8F396" w14:textId="77777777"/>
        </w:tc>
      </w:tr>
    </w:tbl>
    <w:p w:rsidR="004421DC" w:rsidRDefault="00D479E8" w14:paraId="66230725" w14:textId="020E143C">
      <w:pPr>
        <w:spacing w:before="260"/>
      </w:pPr>
      <w:r w:rsidRPr="7068594A" w:rsidR="00D479E8">
        <w:rPr>
          <w:color w:val="6B7280"/>
          <w:sz w:val="23"/>
          <w:szCs w:val="23"/>
        </w:rPr>
        <w:t xml:space="preserve">A practical guide for CEOs, CFOs and CIOs evaluating Salesforce and </w:t>
      </w:r>
      <w:r w:rsidRPr="7068594A" w:rsidR="00D479E8">
        <w:rPr>
          <w:color w:val="6B7280"/>
          <w:sz w:val="23"/>
          <w:szCs w:val="23"/>
        </w:rPr>
        <w:t>Agentforce</w:t>
      </w:r>
      <w:r w:rsidRPr="7068594A" w:rsidR="00D479E8">
        <w:rPr>
          <w:color w:val="6B7280"/>
          <w:sz w:val="23"/>
          <w:szCs w:val="23"/>
        </w:rPr>
        <w:t xml:space="preserve"> </w:t>
      </w:r>
      <w:r w:rsidRPr="7068594A" w:rsidR="32568859">
        <w:rPr>
          <w:color w:val="6B7280"/>
          <w:sz w:val="23"/>
          <w:szCs w:val="23"/>
        </w:rPr>
        <w:t>investments. How</w:t>
      </w:r>
      <w:r w:rsidRPr="7068594A" w:rsidR="00D479E8">
        <w:rPr>
          <w:color w:val="6B7280"/>
          <w:sz w:val="23"/>
          <w:szCs w:val="23"/>
        </w:rPr>
        <w:t xml:space="preserve"> to diagnose the real problem, build the business case, and avoid the mistakes that sink most transformation projects.</w:t>
      </w:r>
    </w:p>
    <w:p w:rsidR="004421DC" w:rsidRDefault="004421DC" w14:paraId="72A3D3EC" w14:textId="77777777">
      <w:pPr>
        <w:spacing w:after="600"/>
      </w:pPr>
    </w:p>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4899"/>
        <w:gridCol w:w="36"/>
        <w:gridCol w:w="4900"/>
      </w:tblGrid>
      <w:tr w:rsidR="004421DC" w:rsidTr="73F5C9C3" w14:paraId="4D24B108" w14:textId="77777777">
        <w:tblPrEx>
          <w:tblCellMar>
            <w:top w:w="0" w:type="dxa"/>
            <w:bottom w:w="0" w:type="dxa"/>
          </w:tblCellMar>
        </w:tblPrEx>
        <w:tc>
          <w:tcPr>
            <w:tcW w:w="2500" w:type="pct"/>
            <w:tcBorders>
              <w:top w:val="none" w:color="FFFFFF" w:themeColor="background1" w:sz="0" w:space="0"/>
              <w:left w:val="single" w:color="8754E9" w:sz="24" w:space="0"/>
              <w:bottom w:val="none" w:color="FFFFFF" w:themeColor="background1" w:sz="0" w:space="0"/>
              <w:right w:val="none" w:color="FFFFFF" w:themeColor="background1" w:sz="0" w:space="0"/>
            </w:tcBorders>
            <w:shd w:val="clear" w:color="auto" w:fill="F7F5FC"/>
            <w:tcMar>
              <w:top w:w="200" w:type="dxa"/>
              <w:left w:w="220" w:type="dxa"/>
              <w:bottom w:w="200" w:type="dxa"/>
              <w:right w:w="220" w:type="dxa"/>
            </w:tcMar>
          </w:tcPr>
          <w:p w:rsidR="004421DC" w:rsidRDefault="00D479E8" w14:paraId="0311D0AC" w14:textId="77777777">
            <w:pPr>
              <w:spacing w:after="80"/>
            </w:pPr>
            <w:r>
              <w:rPr>
                <w:b/>
                <w:bCs/>
                <w:color w:val="6B7280"/>
                <w:spacing w:val="12"/>
                <w:sz w:val="16"/>
                <w:szCs w:val="16"/>
              </w:rPr>
              <w:t>COST OF INACTION</w:t>
            </w:r>
          </w:p>
          <w:p w:rsidR="004421DC" w:rsidRDefault="00D479E8" w14:paraId="3A5F41A7" w14:textId="77777777">
            <w:pPr>
              <w:spacing w:after="80"/>
            </w:pPr>
            <w:r>
              <w:rPr>
                <w:b/>
                <w:bCs/>
                <w:sz w:val="40"/>
                <w:szCs w:val="40"/>
              </w:rPr>
              <w:t>£250k–450k</w:t>
            </w:r>
          </w:p>
          <w:p w:rsidR="004421DC" w:rsidRDefault="00D479E8" w14:paraId="699E1DF7" w14:textId="77777777">
            <w:r>
              <w:rPr>
                <w:color w:val="6B7280"/>
                <w:sz w:val="18"/>
                <w:szCs w:val="18"/>
              </w:rPr>
              <w:t>Typical annual cost of inefficient, manual operations for a mid-sized organisation</w:t>
            </w:r>
          </w:p>
        </w:tc>
        <w:tc>
          <w:tcPr>
            <w:tcW w:w="4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cPr>
          <w:p w:rsidR="004421DC" w:rsidRDefault="004421DC" w14:paraId="0D0B940D" w14:textId="77777777"/>
        </w:tc>
        <w:tc>
          <w:tcPr>
            <w:tcW w:w="2500" w:type="pct"/>
            <w:tcBorders>
              <w:top w:val="none" w:color="FFFFFF" w:themeColor="background1" w:sz="0" w:space="0"/>
              <w:left w:val="single" w:color="8754E9" w:sz="24" w:space="0"/>
              <w:bottom w:val="none" w:color="FFFFFF" w:themeColor="background1" w:sz="0" w:space="0"/>
              <w:right w:val="none" w:color="FFFFFF" w:themeColor="background1" w:sz="0" w:space="0"/>
            </w:tcBorders>
            <w:shd w:val="clear" w:color="auto" w:fill="F7F5FC"/>
            <w:tcMar>
              <w:top w:w="200" w:type="dxa"/>
              <w:left w:w="220" w:type="dxa"/>
              <w:bottom w:w="200" w:type="dxa"/>
              <w:right w:w="220" w:type="dxa"/>
            </w:tcMar>
          </w:tcPr>
          <w:p w:rsidR="004421DC" w:rsidRDefault="00D479E8" w14:paraId="0BF81079" w14:textId="77777777">
            <w:pPr>
              <w:spacing w:after="80"/>
            </w:pPr>
            <w:r>
              <w:rPr>
                <w:b/>
                <w:bCs/>
                <w:color w:val="6B7280"/>
                <w:spacing w:val="12"/>
                <w:sz w:val="16"/>
                <w:szCs w:val="16"/>
              </w:rPr>
              <w:t>TYPICAL YEAR 1 ROI</w:t>
            </w:r>
          </w:p>
          <w:p w:rsidR="004421DC" w:rsidRDefault="00D479E8" w14:paraId="7C8E4AAE" w14:textId="77777777">
            <w:pPr>
              <w:spacing w:after="80"/>
            </w:pPr>
            <w:r>
              <w:rPr>
                <w:b/>
                <w:bCs/>
                <w:sz w:val="40"/>
                <w:szCs w:val="40"/>
              </w:rPr>
              <w:t>200–350%</w:t>
            </w:r>
          </w:p>
          <w:p w:rsidR="004421DC" w:rsidRDefault="00D479E8" w14:paraId="2E7A6A0D" w14:textId="77777777">
            <w:r>
              <w:rPr>
                <w:color w:val="6B7280"/>
                <w:sz w:val="18"/>
                <w:szCs w:val="18"/>
              </w:rPr>
              <w:t>Return on investment within the first year, with payback in 2–3 months</w:t>
            </w:r>
          </w:p>
        </w:tc>
      </w:tr>
    </w:tbl>
    <w:p w:rsidR="004421DC" w:rsidP="73F5C9C3" w:rsidRDefault="00D479E8" w14:paraId="0DB73D43" w14:textId="29A46987">
      <w:pPr>
        <w:pStyle w:val="Normal"/>
        <w:pBdr>
          <w:top w:val="single" w:color="E5E7EB" w:sz="4" w:space="10"/>
        </w:pBdr>
        <w:spacing w:before="300"/>
      </w:pPr>
      <w:r w:rsidRPr="73F5C9C3" w:rsidR="00D479E8">
        <w:rPr>
          <w:color w:val="9CA3AF"/>
          <w:sz w:val="18"/>
          <w:szCs w:val="18"/>
        </w:rPr>
        <w:t xml:space="preserve">Prepared by </w:t>
      </w:r>
      <w:r w:rsidRPr="73F5C9C3" w:rsidR="00D479E8">
        <w:rPr>
          <w:b w:val="1"/>
          <w:bCs w:val="1"/>
          <w:color w:val="6B7280"/>
          <w:sz w:val="18"/>
          <w:szCs w:val="18"/>
        </w:rPr>
        <w:t>CODM Software</w:t>
      </w:r>
      <w:r w:rsidRPr="73F5C9C3" w:rsidR="00D479E8">
        <w:rPr>
          <w:color w:val="9CA3AF"/>
          <w:sz w:val="18"/>
          <w:szCs w:val="18"/>
        </w:rPr>
        <w:t xml:space="preserve">   ·   Salesforce &amp; </w:t>
      </w:r>
      <w:r w:rsidRPr="73F5C9C3" w:rsidR="00D479E8">
        <w:rPr>
          <w:color w:val="9CA3AF"/>
          <w:sz w:val="18"/>
          <w:szCs w:val="18"/>
        </w:rPr>
        <w:t>Agentforce</w:t>
      </w:r>
      <w:r w:rsidRPr="73F5C9C3" w:rsidR="00D479E8">
        <w:rPr>
          <w:color w:val="9CA3AF"/>
          <w:sz w:val="18"/>
          <w:szCs w:val="18"/>
        </w:rPr>
        <w:t xml:space="preserve"> Implementation Partner</w:t>
      </w:r>
    </w:p>
    <w:p w:rsidR="73F5C9C3" w:rsidP="73F5C9C3" w:rsidRDefault="73F5C9C3" w14:paraId="7ABD535E" w14:textId="0CF503B1">
      <w:pPr>
        <w:spacing w:before="420" w:after="180"/>
        <w:rPr>
          <w:b w:val="1"/>
          <w:bCs w:val="1"/>
          <w:color w:val="9CA3AF"/>
          <w:sz w:val="15"/>
          <w:szCs w:val="15"/>
        </w:rPr>
      </w:pPr>
    </w:p>
    <w:p w:rsidR="004421DC" w:rsidRDefault="00D479E8" w14:paraId="7D9CCBE2" w14:textId="77777777">
      <w:pPr>
        <w:spacing w:before="420" w:after="180"/>
      </w:pPr>
      <w:r w:rsidR="00D479E8">
        <w:rPr>
          <w:b w:val="1"/>
          <w:bCs w:val="1"/>
          <w:color w:val="9CA3AF"/>
          <w:spacing w:val="20"/>
          <w:sz w:val="15"/>
          <w:szCs w:val="15"/>
        </w:rPr>
        <w:t>ACCREDITED &amp; TRUSTED</w:t>
      </w:r>
    </w:p>
    <w:tbl>
      <w:tblPr>
        <w:tblStyle w:val="TableGrid"/>
        <w:tblW w:w="0" w:type="auto"/>
        <w:tblBorders>
          <w:top w:val="single" w:color="E5E7EB" w:sz="24"/>
          <w:left w:val="double" w:color="FFFFFF" w:themeColor="background1" w:sz="4"/>
          <w:bottom w:val="single" w:color="E5E7EB" w:sz="24"/>
          <w:right w:val="double" w:color="FFFFFF" w:themeColor="background1" w:sz="4"/>
        </w:tblBorders>
        <w:tblLook w:val="04A0" w:firstRow="1" w:lastRow="0" w:firstColumn="1" w:lastColumn="0" w:noHBand="0" w:noVBand="1"/>
      </w:tblPr>
      <w:tblGrid>
        <w:gridCol w:w="975"/>
        <w:gridCol w:w="930"/>
        <w:gridCol w:w="1095"/>
      </w:tblGrid>
      <w:tr w:rsidR="73F5C9C3" w:rsidTr="73F5C9C3" w14:paraId="3F3BECC0">
        <w:tc>
          <w:tcPr>
            <w:tcW w:w="975" w:type="dxa"/>
            <w:tcBorders>
              <w:top w:val="none" w:color="FFFFFF" w:themeColor="background1" w:sz="4"/>
              <w:left w:val="none" w:color="FFFFFF" w:themeColor="background1" w:sz="4"/>
              <w:bottom w:val="none" w:color="FFFFFF" w:themeColor="background1" w:sz="4"/>
              <w:right w:val="none" w:color="FFFFFF" w:themeColor="background1" w:sz="4"/>
            </w:tcBorders>
            <w:tcMar/>
          </w:tcPr>
          <w:p w:rsidR="73F5C9C3" w:rsidP="73F5C9C3" w:rsidRDefault="73F5C9C3" w14:paraId="0BC5D6EA" w14:textId="5F0FE79A">
            <w:pPr>
              <w:pStyle w:val="Normal"/>
            </w:pPr>
            <w:r w:rsidR="73F5C9C3">
              <w:drawing>
                <wp:inline wp14:editId="70F35185" wp14:anchorId="5A108BCD">
                  <wp:extent cx="590550" cy="581025"/>
                  <wp:effectExtent l="0" t="0" r="0" b="0"/>
                  <wp:docPr id="1046980151" name="Picture 1046980151"/>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a:picLocks xmlns:a="http://schemas.openxmlformats.org/drawingml/2006/main" noChangeAspect="1" noChangeArrowheads="1"/>
                          </pic:cNvPicPr>
                        </pic:nvPicPr>
                        <pic:blipFill xmlns:pic="http://schemas.openxmlformats.org/drawingml/2006/picture">
                          <a:blip xmlns:r="http://schemas.openxmlformats.org/officeDocument/2006/relationships" xmlns:a="http://schemas.openxmlformats.org/drawingml/2006/main" r:embed="rId8"/>
                          <a:srcRect xmlns:a="http://schemas.openxmlformats.org/drawingml/2006/main"/>
                          <a:stretch xmlns:a="http://schemas.openxmlformats.org/drawingml/2006/main">
                            <a:fillRect xmlns:a="http://schemas.openxmlformats.org/drawingml/2006/main"/>
                          </a:stretch>
                        </pic:blipFill>
                        <pic:spPr xmlns:pic="http://schemas.openxmlformats.org/drawingml/2006/picture" bwMode="auto">
                          <a:xfrm xmlns:a="http://schemas.openxmlformats.org/drawingml/2006/main">
                            <a:off xmlns:a="http://schemas.openxmlformats.org/drawingml/2006/main" x="0" y="0"/>
                            <a:ext xmlns:a="http://schemas.openxmlformats.org/drawingml/2006/main" cx="590550" cy="581025"/>
                          </a:xfrm>
                          <a:prstGeom xmlns:a="http://schemas.openxmlformats.org/drawingml/2006/main" prst="rect">
                            <a:avLst xmlns:a="http://schemas.openxmlformats.org/drawingml/2006/main"/>
                          </a:prstGeom>
                        </pic:spPr>
                      </pic:pic>
                    </a:graphicData>
                  </a:graphic>
                </wp:inline>
              </w:drawing>
            </w:r>
          </w:p>
        </w:tc>
        <w:tc>
          <w:tcPr>
            <w:tcW w:w="930" w:type="dxa"/>
            <w:tcBorders>
              <w:top w:val="none" w:color="FFFFFF" w:themeColor="background1" w:sz="4"/>
              <w:left w:val="none" w:color="FFFFFF" w:themeColor="background1" w:sz="4"/>
              <w:bottom w:val="none" w:color="FFFFFF" w:themeColor="background1" w:sz="4"/>
              <w:right w:val="none" w:color="FFFFFF" w:themeColor="background1" w:sz="4"/>
            </w:tcBorders>
            <w:tcMar/>
          </w:tcPr>
          <w:p w:rsidR="73F5C9C3" w:rsidP="73F5C9C3" w:rsidRDefault="73F5C9C3" w14:paraId="18D254E0" w14:textId="6CC77E4F">
            <w:pPr>
              <w:pStyle w:val="Normal"/>
            </w:pPr>
            <w:r w:rsidR="73F5C9C3">
              <w:drawing>
                <wp:inline wp14:editId="0696F884" wp14:anchorId="7E059068">
                  <wp:extent cx="552450" cy="552450"/>
                  <wp:effectExtent l="0" t="0" r="0" b="0"/>
                  <wp:docPr id="907504484" name="Picture 907504484"/>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a:picLocks xmlns:a="http://schemas.openxmlformats.org/drawingml/2006/main" noChangeAspect="1" noChangeArrowheads="1"/>
                          </pic:cNvPicPr>
                        </pic:nvPicPr>
                        <pic:blipFill xmlns:pic="http://schemas.openxmlformats.org/drawingml/2006/picture">
                          <a:blip xmlns:r="http://schemas.openxmlformats.org/officeDocument/2006/relationships" xmlns:a="http://schemas.openxmlformats.org/drawingml/2006/main" r:embed="rId9"/>
                          <a:srcRect xmlns:a="http://schemas.openxmlformats.org/drawingml/2006/main"/>
                          <a:stretch xmlns:a="http://schemas.openxmlformats.org/drawingml/2006/main">
                            <a:fillRect xmlns:a="http://schemas.openxmlformats.org/drawingml/2006/main"/>
                          </a:stretch>
                        </pic:blipFill>
                        <pic:spPr xmlns:pic="http://schemas.openxmlformats.org/drawingml/2006/picture" bwMode="auto">
                          <a:xfrm xmlns:a="http://schemas.openxmlformats.org/drawingml/2006/main">
                            <a:off xmlns:a="http://schemas.openxmlformats.org/drawingml/2006/main" x="0" y="0"/>
                            <a:ext xmlns:a="http://schemas.openxmlformats.org/drawingml/2006/main" cx="552450" cy="552450"/>
                          </a:xfrm>
                          <a:prstGeom xmlns:a="http://schemas.openxmlformats.org/drawingml/2006/main" prst="rect">
                            <a:avLst xmlns:a="http://schemas.openxmlformats.org/drawingml/2006/main"/>
                          </a:prstGeom>
                        </pic:spPr>
                      </pic:pic>
                    </a:graphicData>
                  </a:graphic>
                </wp:inline>
              </w:drawing>
            </w:r>
          </w:p>
        </w:tc>
        <w:tc>
          <w:tcPr>
            <w:tcW w:w="1095" w:type="dxa"/>
            <w:tcBorders>
              <w:top w:val="none" w:color="FFFFFF" w:themeColor="background1" w:sz="4"/>
              <w:left w:val="none" w:color="FFFFFF" w:themeColor="background1" w:sz="4"/>
              <w:bottom w:val="none" w:color="FFFFFF" w:themeColor="background1" w:sz="4"/>
              <w:right w:val="none" w:color="FFFFFF" w:themeColor="background1" w:sz="4"/>
            </w:tcBorders>
            <w:tcMar/>
          </w:tcPr>
          <w:p w:rsidR="73F5C9C3" w:rsidP="73F5C9C3" w:rsidRDefault="73F5C9C3" w14:paraId="04068DB0" w14:textId="6F877E53">
            <w:pPr>
              <w:pStyle w:val="Normal"/>
            </w:pPr>
            <w:r w:rsidR="73F5C9C3">
              <w:drawing>
                <wp:inline wp14:editId="0FB7661E" wp14:anchorId="0D9866CF">
                  <wp:extent cx="639699" cy="580718"/>
                  <wp:effectExtent l="0" t="0" r="0" b="0"/>
                  <wp:docPr id="1372696254" name="Picture 1372696254"/>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a:picLocks xmlns:a="http://schemas.openxmlformats.org/drawingml/2006/main" noChangeAspect="1" noChangeArrowheads="1"/>
                          </pic:cNvPicPr>
                        </pic:nvPicPr>
                        <pic:blipFill xmlns:pic="http://schemas.openxmlformats.org/drawingml/2006/picture">
                          <a:blip xmlns:r="http://schemas.openxmlformats.org/officeDocument/2006/relationships" xmlns:a="http://schemas.openxmlformats.org/drawingml/2006/main" r:embed="rId10"/>
                          <a:srcRect xmlns:a="http://schemas.openxmlformats.org/drawingml/2006/main"/>
                          <a:stretch xmlns:a="http://schemas.openxmlformats.org/drawingml/2006/main">
                            <a:fillRect xmlns:a="http://schemas.openxmlformats.org/drawingml/2006/main"/>
                          </a:stretch>
                        </pic:blipFill>
                        <pic:spPr xmlns:pic="http://schemas.openxmlformats.org/drawingml/2006/picture" bwMode="auto">
                          <a:xfrm xmlns:a="http://schemas.openxmlformats.org/drawingml/2006/main" rot="0">
                            <a:off xmlns:a="http://schemas.openxmlformats.org/drawingml/2006/main" x="0" y="0"/>
                            <a:ext xmlns:a="http://schemas.openxmlformats.org/drawingml/2006/main" cx="639699" cy="580718"/>
                          </a:xfrm>
                          <a:prstGeom xmlns:a="http://schemas.openxmlformats.org/drawingml/2006/main" prst="rect">
                            <a:avLst xmlns:a="http://schemas.openxmlformats.org/drawingml/2006/main"/>
                          </a:prstGeom>
                        </pic:spPr>
                      </pic:pic>
                    </a:graphicData>
                  </a:graphic>
                </wp:inline>
              </w:drawing>
            </w:r>
          </w:p>
        </w:tc>
      </w:tr>
    </w:tbl>
    <w:p w:rsidR="004421DC" w:rsidRDefault="004421DC" w14:paraId="3DEEC669" w14:textId="77777777">
      <w:pPr>
        <w:spacing w:after="260"/>
      </w:pPr>
    </w:p>
    <w:p w:rsidR="004421DC" w:rsidRDefault="004421DC" w14:paraId="3656B9AB" w14:textId="77777777">
      <w:pPr>
        <w:sectPr w:rsidR="004421DC">
          <w:headerReference w:type="default" r:id="rId11"/>
          <w:footerReference w:type="default" r:id="rId12"/>
          <w:headerReference w:type="first" r:id="rId13"/>
          <w:footerReference w:type="first" r:id="rId14"/>
          <w:pgSz w:w="11905" w:h="16837" w:orient="portrait"/>
          <w:pgMar w:top="0" w:right="1020" w:bottom="793" w:left="1020" w:header="708" w:footer="708" w:gutter="0"/>
          <w:cols w:space="720"/>
          <w:titlePg/>
          <w:docGrid w:linePitch="360"/>
        </w:sectPr>
      </w:pPr>
    </w:p>
    <w:p w:rsidR="004421DC" w:rsidP="7068594A" w:rsidRDefault="00D479E8" w14:paraId="1CDE7198" w14:textId="5C8348E6">
      <w:pPr>
        <w:pStyle w:val="Normal"/>
        <w:spacing w:after="100"/>
      </w:pPr>
      <w:r w:rsidRPr="7068594A" w:rsidR="00D479E8">
        <w:rPr>
          <w:b w:val="1"/>
          <w:bCs w:val="1"/>
          <w:color w:val="8754E9"/>
          <w:sz w:val="16"/>
          <w:szCs w:val="16"/>
        </w:rPr>
        <w:t>DIAGNOSIS</w:t>
      </w:r>
    </w:p>
    <w:p w:rsidR="004421DC" w:rsidRDefault="00D479E8" w14:paraId="73AA1246" w14:textId="77777777">
      <w:pPr>
        <w:spacing w:after="60"/>
      </w:pPr>
      <w:r>
        <w:rPr>
          <w:b/>
          <w:bCs/>
          <w:sz w:val="36"/>
          <w:szCs w:val="36"/>
        </w:rPr>
        <w:t>10 signs your operations are inefficient</w:t>
      </w:r>
    </w:p>
    <w:tbl>
      <w:tblPr>
        <w:tblW w:w="90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0"/>
      </w:tblGrid>
      <w:tr w:rsidR="004421DC" w14:paraId="1299C43A" w14:textId="77777777">
        <w:tblPrEx>
          <w:tblCellMar>
            <w:top w:w="0" w:type="dxa"/>
            <w:bottom w:w="0" w:type="dxa"/>
          </w:tblCellMar>
        </w:tblPrEx>
        <w:trPr>
          <w:trHeight w:val="50" w:hRule="exact"/>
        </w:trPr>
        <w:tc>
          <w:tcPr>
            <w:tcW w:w="900" w:type="dxa"/>
            <w:tcBorders>
              <w:top w:val="none" w:color="FFFFFF" w:sz="0" w:space="0"/>
              <w:left w:val="none" w:color="FFFFFF" w:sz="0" w:space="0"/>
              <w:bottom w:val="none" w:color="FFFFFF" w:sz="0" w:space="0"/>
              <w:right w:val="none" w:color="FFFFFF" w:sz="0" w:space="0"/>
            </w:tcBorders>
            <w:shd w:val="clear" w:color="auto" w:fill="8754E9"/>
          </w:tcPr>
          <w:p w:rsidR="004421DC" w:rsidRDefault="004421DC" w14:paraId="4DDBEF00" w14:textId="77777777"/>
        </w:tc>
      </w:tr>
    </w:tbl>
    <w:p w:rsidR="004421DC" w:rsidP="7068594A" w:rsidRDefault="00D479E8" w14:paraId="00F8995B" w14:textId="521A152B">
      <w:pPr>
        <w:pStyle w:val="Normal"/>
        <w:spacing w:after="140" w:line="300" w:lineRule="auto"/>
      </w:pPr>
      <w:r w:rsidR="00D479E8">
        <w:rPr/>
        <w:t xml:space="preserve">Most organisations </w:t>
      </w:r>
      <w:r w:rsidR="00D479E8">
        <w:rPr/>
        <w:t>don't</w:t>
      </w:r>
      <w:r w:rsidR="00D479E8">
        <w:rPr/>
        <w:t xml:space="preserve"> realise they have an operational problem until it becomes a crisis. These signs tend to show up long before that, usually dismissed as 'just how things work here.' Recognise five or more, and </w:t>
      </w:r>
      <w:r w:rsidR="00D479E8">
        <w:rPr/>
        <w:t>it's</w:t>
      </w:r>
      <w:r w:rsidR="00D479E8">
        <w:rPr/>
        <w:t xml:space="preserve"> worth addressing on purpose rather than living with by default.</w:t>
      </w:r>
    </w:p>
    <w:p w:rsidR="004421DC" w:rsidRDefault="004421DC" w14:paraId="3CF2D8B6" w14:textId="77777777">
      <w:pPr>
        <w:spacing w:after="100"/>
      </w:pPr>
    </w:p>
    <w:tbl>
      <w:tblPr>
        <w:tblW w:w="986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750"/>
        <w:gridCol w:w="9115"/>
      </w:tblGrid>
      <w:tr w:rsidR="004421DC" w14:paraId="34626A2D" w14:textId="77777777">
        <w:tblPrEx>
          <w:tblCellMar>
            <w:top w:w="0" w:type="dxa"/>
            <w:bottom w:w="0" w:type="dxa"/>
          </w:tblCellMar>
        </w:tblPrEx>
        <w:trPr>
          <w:cantSplit/>
        </w:trPr>
        <w:tc>
          <w:tcPr>
            <w:tcW w:w="750" w:type="dxa"/>
            <w:tcBorders>
              <w:top w:val="none" w:color="FFFFFF" w:sz="0" w:space="0"/>
              <w:left w:val="none" w:color="FFFFFF" w:sz="0" w:space="0"/>
              <w:bottom w:val="none" w:color="FFFFFF" w:sz="0" w:space="0"/>
              <w:right w:val="none" w:color="FFFFFF" w:sz="0" w:space="0"/>
            </w:tcBorders>
            <w:tcMar>
              <w:top w:w="40" w:type="dxa"/>
              <w:right w:w="80" w:type="dxa"/>
            </w:tcMar>
          </w:tcPr>
          <w:p w:rsidR="004421DC" w:rsidRDefault="00D479E8" w14:paraId="5B4507BE" w14:textId="77777777">
            <w:r>
              <w:rPr>
                <w:b/>
                <w:bCs/>
                <w:color w:val="8754E9"/>
                <w:sz w:val="30"/>
                <w:szCs w:val="30"/>
              </w:rPr>
              <w:t>01</w:t>
            </w:r>
          </w:p>
        </w:tc>
        <w:tc>
          <w:tcPr>
            <w:tcW w:w="9115" w:type="dxa"/>
            <w:tcBorders>
              <w:top w:val="none" w:color="FFFFFF" w:sz="0" w:space="0"/>
              <w:left w:val="none" w:color="FFFFFF" w:sz="0" w:space="0"/>
              <w:bottom w:val="none" w:color="FFFFFF" w:sz="0" w:space="0"/>
              <w:right w:val="none" w:color="FFFFFF" w:sz="0" w:space="0"/>
            </w:tcBorders>
            <w:tcMar>
              <w:top w:w="40" w:type="dxa"/>
            </w:tcMar>
          </w:tcPr>
          <w:p w:rsidR="004421DC" w:rsidRDefault="00D479E8" w14:paraId="38E0C33C" w14:textId="77777777">
            <w:pPr>
              <w:spacing w:after="40"/>
            </w:pPr>
            <w:r>
              <w:rPr>
                <w:b/>
                <w:bCs/>
              </w:rPr>
              <w:t>Information is scattered across systems</w:t>
            </w:r>
          </w:p>
          <w:p w:rsidR="004421DC" w:rsidRDefault="00D479E8" w14:paraId="3088B0F3" w14:textId="77777777">
            <w:pPr>
              <w:spacing w:line="270" w:lineRule="auto"/>
            </w:pPr>
            <w:r>
              <w:rPr>
                <w:color w:val="6B7280"/>
                <w:sz w:val="20"/>
                <w:szCs w:val="20"/>
              </w:rPr>
              <w:t>No single place holds the full picture, so answering 'what's going on' means checking three systems and someone's inbox.</w:t>
            </w:r>
          </w:p>
        </w:tc>
      </w:tr>
    </w:tbl>
    <w:p w:rsidR="004421DC" w:rsidRDefault="004421DC" w14:paraId="0FB78278" w14:textId="77777777">
      <w:pPr>
        <w:pBdr>
          <w:bottom w:val="single" w:color="E5E7EB" w:sz="4" w:space="1"/>
        </w:pBdr>
        <w:spacing w:before="90" w:after="90"/>
      </w:pPr>
    </w:p>
    <w:tbl>
      <w:tblPr>
        <w:tblW w:w="986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750"/>
        <w:gridCol w:w="9115"/>
      </w:tblGrid>
      <w:tr w:rsidR="004421DC" w14:paraId="6B19FE0C" w14:textId="77777777">
        <w:tblPrEx>
          <w:tblCellMar>
            <w:top w:w="0" w:type="dxa"/>
            <w:bottom w:w="0" w:type="dxa"/>
          </w:tblCellMar>
        </w:tblPrEx>
        <w:trPr>
          <w:cantSplit/>
        </w:trPr>
        <w:tc>
          <w:tcPr>
            <w:tcW w:w="750" w:type="dxa"/>
            <w:tcBorders>
              <w:top w:val="none" w:color="FFFFFF" w:sz="0" w:space="0"/>
              <w:left w:val="none" w:color="FFFFFF" w:sz="0" w:space="0"/>
              <w:bottom w:val="none" w:color="FFFFFF" w:sz="0" w:space="0"/>
              <w:right w:val="none" w:color="FFFFFF" w:sz="0" w:space="0"/>
            </w:tcBorders>
            <w:tcMar>
              <w:top w:w="40" w:type="dxa"/>
              <w:right w:w="80" w:type="dxa"/>
            </w:tcMar>
          </w:tcPr>
          <w:p w:rsidR="004421DC" w:rsidRDefault="00D479E8" w14:paraId="385FFFD4" w14:textId="77777777">
            <w:r>
              <w:rPr>
                <w:b/>
                <w:bCs/>
                <w:color w:val="8754E9"/>
                <w:sz w:val="30"/>
                <w:szCs w:val="30"/>
              </w:rPr>
              <w:t>02</w:t>
            </w:r>
          </w:p>
        </w:tc>
        <w:tc>
          <w:tcPr>
            <w:tcW w:w="9115" w:type="dxa"/>
            <w:tcBorders>
              <w:top w:val="none" w:color="FFFFFF" w:sz="0" w:space="0"/>
              <w:left w:val="none" w:color="FFFFFF" w:sz="0" w:space="0"/>
              <w:bottom w:val="none" w:color="FFFFFF" w:sz="0" w:space="0"/>
              <w:right w:val="none" w:color="FFFFFF" w:sz="0" w:space="0"/>
            </w:tcBorders>
            <w:tcMar>
              <w:top w:w="40" w:type="dxa"/>
            </w:tcMar>
          </w:tcPr>
          <w:p w:rsidR="004421DC" w:rsidRDefault="00D479E8" w14:paraId="55438E9B" w14:textId="77777777">
            <w:pPr>
              <w:spacing w:after="40"/>
            </w:pPr>
            <w:r>
              <w:rPr>
                <w:b/>
                <w:bCs/>
              </w:rPr>
              <w:t>Manual data entry is still the main method</w:t>
            </w:r>
          </w:p>
          <w:p w:rsidR="004421DC" w:rsidRDefault="00D479E8" w14:paraId="7F988531" w14:textId="77777777">
            <w:pPr>
              <w:spacing w:line="270" w:lineRule="auto"/>
            </w:pPr>
            <w:r>
              <w:rPr>
                <w:color w:val="6B7280"/>
                <w:sz w:val="20"/>
                <w:szCs w:val="20"/>
              </w:rPr>
              <w:t>People re-type the same information by hand, and every re-entry is a fresh chance for an error.</w:t>
            </w:r>
          </w:p>
        </w:tc>
      </w:tr>
    </w:tbl>
    <w:p w:rsidR="004421DC" w:rsidRDefault="004421DC" w14:paraId="1FC39945" w14:textId="77777777">
      <w:pPr>
        <w:pBdr>
          <w:bottom w:val="single" w:color="E5E7EB" w:sz="4" w:space="1"/>
        </w:pBdr>
        <w:spacing w:before="90" w:after="90"/>
      </w:pPr>
    </w:p>
    <w:tbl>
      <w:tblPr>
        <w:tblW w:w="986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750"/>
        <w:gridCol w:w="9115"/>
      </w:tblGrid>
      <w:tr w:rsidR="004421DC" w14:paraId="753AA55D" w14:textId="77777777">
        <w:tblPrEx>
          <w:tblCellMar>
            <w:top w:w="0" w:type="dxa"/>
            <w:bottom w:w="0" w:type="dxa"/>
          </w:tblCellMar>
        </w:tblPrEx>
        <w:trPr>
          <w:cantSplit/>
        </w:trPr>
        <w:tc>
          <w:tcPr>
            <w:tcW w:w="750" w:type="dxa"/>
            <w:tcBorders>
              <w:top w:val="none" w:color="FFFFFF" w:sz="0" w:space="0"/>
              <w:left w:val="none" w:color="FFFFFF" w:sz="0" w:space="0"/>
              <w:bottom w:val="none" w:color="FFFFFF" w:sz="0" w:space="0"/>
              <w:right w:val="none" w:color="FFFFFF" w:sz="0" w:space="0"/>
            </w:tcBorders>
            <w:tcMar>
              <w:top w:w="40" w:type="dxa"/>
              <w:right w:w="80" w:type="dxa"/>
            </w:tcMar>
          </w:tcPr>
          <w:p w:rsidR="004421DC" w:rsidRDefault="00D479E8" w14:paraId="2953FD37" w14:textId="77777777">
            <w:r>
              <w:rPr>
                <w:b/>
                <w:bCs/>
                <w:color w:val="8754E9"/>
                <w:sz w:val="30"/>
                <w:szCs w:val="30"/>
              </w:rPr>
              <w:t>03</w:t>
            </w:r>
          </w:p>
        </w:tc>
        <w:tc>
          <w:tcPr>
            <w:tcW w:w="9115" w:type="dxa"/>
            <w:tcBorders>
              <w:top w:val="none" w:color="FFFFFF" w:sz="0" w:space="0"/>
              <w:left w:val="none" w:color="FFFFFF" w:sz="0" w:space="0"/>
              <w:bottom w:val="none" w:color="FFFFFF" w:sz="0" w:space="0"/>
              <w:right w:val="none" w:color="FFFFFF" w:sz="0" w:space="0"/>
            </w:tcBorders>
            <w:tcMar>
              <w:top w:w="40" w:type="dxa"/>
            </w:tcMar>
          </w:tcPr>
          <w:p w:rsidR="004421DC" w:rsidRDefault="00D479E8" w14:paraId="7E85AAAD" w14:textId="77777777">
            <w:pPr>
              <w:spacing w:after="40"/>
            </w:pPr>
            <w:r>
              <w:rPr>
                <w:b/>
                <w:bCs/>
              </w:rPr>
              <w:t>Leadership waits for reports instead of live data</w:t>
            </w:r>
          </w:p>
          <w:p w:rsidR="004421DC" w:rsidRDefault="00D479E8" w14:paraId="71F3F21F" w14:textId="77777777">
            <w:pPr>
              <w:spacing w:line="270" w:lineRule="auto"/>
            </w:pPr>
            <w:r>
              <w:rPr>
                <w:color w:val="6B7280"/>
                <w:sz w:val="20"/>
                <w:szCs w:val="20"/>
              </w:rPr>
              <w:t>Decisions wait for someone to compile a report that's already out of date by the time it lands.</w:t>
            </w:r>
          </w:p>
        </w:tc>
      </w:tr>
    </w:tbl>
    <w:p w:rsidR="004421DC" w:rsidRDefault="004421DC" w14:paraId="0562CB0E" w14:textId="77777777">
      <w:pPr>
        <w:pBdr>
          <w:bottom w:val="single" w:color="E5E7EB" w:sz="4" w:space="1"/>
        </w:pBdr>
        <w:spacing w:before="90" w:after="90"/>
      </w:pPr>
    </w:p>
    <w:tbl>
      <w:tblPr>
        <w:tblW w:w="986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750"/>
        <w:gridCol w:w="9115"/>
      </w:tblGrid>
      <w:tr w:rsidR="004421DC" w14:paraId="1A7609A2" w14:textId="77777777">
        <w:tblPrEx>
          <w:tblCellMar>
            <w:top w:w="0" w:type="dxa"/>
            <w:bottom w:w="0" w:type="dxa"/>
          </w:tblCellMar>
        </w:tblPrEx>
        <w:trPr>
          <w:cantSplit/>
        </w:trPr>
        <w:tc>
          <w:tcPr>
            <w:tcW w:w="750" w:type="dxa"/>
            <w:tcBorders>
              <w:top w:val="none" w:color="FFFFFF" w:sz="0" w:space="0"/>
              <w:left w:val="none" w:color="FFFFFF" w:sz="0" w:space="0"/>
              <w:bottom w:val="none" w:color="FFFFFF" w:sz="0" w:space="0"/>
              <w:right w:val="none" w:color="FFFFFF" w:sz="0" w:space="0"/>
            </w:tcBorders>
            <w:tcMar>
              <w:top w:w="40" w:type="dxa"/>
              <w:right w:w="80" w:type="dxa"/>
            </w:tcMar>
          </w:tcPr>
          <w:p w:rsidR="004421DC" w:rsidRDefault="00D479E8" w14:paraId="5464B667" w14:textId="77777777">
            <w:r>
              <w:rPr>
                <w:b/>
                <w:bCs/>
                <w:color w:val="8754E9"/>
                <w:sz w:val="30"/>
                <w:szCs w:val="30"/>
              </w:rPr>
              <w:t>04</w:t>
            </w:r>
          </w:p>
        </w:tc>
        <w:tc>
          <w:tcPr>
            <w:tcW w:w="9115" w:type="dxa"/>
            <w:tcBorders>
              <w:top w:val="none" w:color="FFFFFF" w:sz="0" w:space="0"/>
              <w:left w:val="none" w:color="FFFFFF" w:sz="0" w:space="0"/>
              <w:bottom w:val="none" w:color="FFFFFF" w:sz="0" w:space="0"/>
              <w:right w:val="none" w:color="FFFFFF" w:sz="0" w:space="0"/>
            </w:tcBorders>
            <w:tcMar>
              <w:top w:w="40" w:type="dxa"/>
            </w:tcMar>
          </w:tcPr>
          <w:p w:rsidR="004421DC" w:rsidRDefault="00D479E8" w14:paraId="6FFA077E" w14:textId="77777777">
            <w:pPr>
              <w:spacing w:after="40"/>
            </w:pPr>
            <w:r>
              <w:rPr>
                <w:b/>
                <w:bCs/>
              </w:rPr>
              <w:t>Processes vary depending on who's doing them</w:t>
            </w:r>
          </w:p>
          <w:p w:rsidR="004421DC" w:rsidRDefault="00D479E8" w14:paraId="3B9D97C7" w14:textId="77777777">
            <w:pPr>
              <w:spacing w:line="270" w:lineRule="auto"/>
            </w:pPr>
            <w:r>
              <w:rPr>
                <w:color w:val="6B7280"/>
                <w:sz w:val="20"/>
                <w:szCs w:val="20"/>
              </w:rPr>
              <w:t>Ask three people how something gets done and expect three different answers.</w:t>
            </w:r>
          </w:p>
        </w:tc>
      </w:tr>
    </w:tbl>
    <w:p w:rsidR="004421DC" w:rsidRDefault="004421DC" w14:paraId="34CE0A41" w14:textId="77777777">
      <w:pPr>
        <w:pBdr>
          <w:bottom w:val="single" w:color="E5E7EB" w:sz="4" w:space="1"/>
        </w:pBdr>
        <w:spacing w:before="90" w:after="90"/>
      </w:pPr>
    </w:p>
    <w:tbl>
      <w:tblPr>
        <w:tblW w:w="986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750"/>
        <w:gridCol w:w="9115"/>
      </w:tblGrid>
      <w:tr w:rsidR="004421DC" w14:paraId="044F41F2" w14:textId="77777777">
        <w:tblPrEx>
          <w:tblCellMar>
            <w:top w:w="0" w:type="dxa"/>
            <w:bottom w:w="0" w:type="dxa"/>
          </w:tblCellMar>
        </w:tblPrEx>
        <w:trPr>
          <w:cantSplit/>
        </w:trPr>
        <w:tc>
          <w:tcPr>
            <w:tcW w:w="750" w:type="dxa"/>
            <w:tcBorders>
              <w:top w:val="none" w:color="FFFFFF" w:sz="0" w:space="0"/>
              <w:left w:val="none" w:color="FFFFFF" w:sz="0" w:space="0"/>
              <w:bottom w:val="none" w:color="FFFFFF" w:sz="0" w:space="0"/>
              <w:right w:val="none" w:color="FFFFFF" w:sz="0" w:space="0"/>
            </w:tcBorders>
            <w:tcMar>
              <w:top w:w="40" w:type="dxa"/>
              <w:right w:w="80" w:type="dxa"/>
            </w:tcMar>
          </w:tcPr>
          <w:p w:rsidR="004421DC" w:rsidRDefault="00D479E8" w14:paraId="1569879C" w14:textId="77777777">
            <w:r>
              <w:rPr>
                <w:b/>
                <w:bCs/>
                <w:color w:val="8754E9"/>
                <w:sz w:val="30"/>
                <w:szCs w:val="30"/>
              </w:rPr>
              <w:t>05</w:t>
            </w:r>
          </w:p>
        </w:tc>
        <w:tc>
          <w:tcPr>
            <w:tcW w:w="9115" w:type="dxa"/>
            <w:tcBorders>
              <w:top w:val="none" w:color="FFFFFF" w:sz="0" w:space="0"/>
              <w:left w:val="none" w:color="FFFFFF" w:sz="0" w:space="0"/>
              <w:bottom w:val="none" w:color="FFFFFF" w:sz="0" w:space="0"/>
              <w:right w:val="none" w:color="FFFFFF" w:sz="0" w:space="0"/>
            </w:tcBorders>
            <w:tcMar>
              <w:top w:w="40" w:type="dxa"/>
            </w:tcMar>
          </w:tcPr>
          <w:p w:rsidR="004421DC" w:rsidRDefault="00D479E8" w14:paraId="53C444B0" w14:textId="77777777">
            <w:pPr>
              <w:spacing w:after="40"/>
            </w:pPr>
            <w:r>
              <w:rPr>
                <w:b/>
                <w:bCs/>
              </w:rPr>
              <w:t>Nobody fully trusts the data anymore</w:t>
            </w:r>
          </w:p>
          <w:p w:rsidR="004421DC" w:rsidRDefault="00D479E8" w14:paraId="4A742A31" w14:textId="77777777">
            <w:pPr>
              <w:spacing w:line="270" w:lineRule="auto"/>
            </w:pPr>
            <w:r>
              <w:rPr>
                <w:color w:val="6B7280"/>
                <w:sz w:val="20"/>
                <w:szCs w:val="20"/>
              </w:rPr>
              <w:t>People quietly keep their own notes because they've stopped trusting what the system tells them.</w:t>
            </w:r>
          </w:p>
        </w:tc>
      </w:tr>
    </w:tbl>
    <w:p w:rsidR="004421DC" w:rsidRDefault="004421DC" w14:paraId="62EBF3C5" w14:textId="77777777">
      <w:pPr>
        <w:pBdr>
          <w:bottom w:val="single" w:color="E5E7EB" w:sz="4" w:space="1"/>
        </w:pBdr>
        <w:spacing w:before="90" w:after="90"/>
      </w:pPr>
    </w:p>
    <w:tbl>
      <w:tblPr>
        <w:tblW w:w="986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750"/>
        <w:gridCol w:w="9115"/>
      </w:tblGrid>
      <w:tr w:rsidR="004421DC" w14:paraId="5938996C" w14:textId="77777777">
        <w:tblPrEx>
          <w:tblCellMar>
            <w:top w:w="0" w:type="dxa"/>
            <w:bottom w:w="0" w:type="dxa"/>
          </w:tblCellMar>
        </w:tblPrEx>
        <w:trPr>
          <w:cantSplit/>
        </w:trPr>
        <w:tc>
          <w:tcPr>
            <w:tcW w:w="750" w:type="dxa"/>
            <w:tcBorders>
              <w:top w:val="none" w:color="FFFFFF" w:sz="0" w:space="0"/>
              <w:left w:val="none" w:color="FFFFFF" w:sz="0" w:space="0"/>
              <w:bottom w:val="none" w:color="FFFFFF" w:sz="0" w:space="0"/>
              <w:right w:val="none" w:color="FFFFFF" w:sz="0" w:space="0"/>
            </w:tcBorders>
            <w:tcMar>
              <w:top w:w="40" w:type="dxa"/>
              <w:right w:w="80" w:type="dxa"/>
            </w:tcMar>
          </w:tcPr>
          <w:p w:rsidR="004421DC" w:rsidRDefault="00D479E8" w14:paraId="71931EE1" w14:textId="77777777">
            <w:r>
              <w:rPr>
                <w:b/>
                <w:bCs/>
                <w:color w:val="8754E9"/>
                <w:sz w:val="30"/>
                <w:szCs w:val="30"/>
              </w:rPr>
              <w:t>06</w:t>
            </w:r>
          </w:p>
        </w:tc>
        <w:tc>
          <w:tcPr>
            <w:tcW w:w="9115" w:type="dxa"/>
            <w:tcBorders>
              <w:top w:val="none" w:color="FFFFFF" w:sz="0" w:space="0"/>
              <w:left w:val="none" w:color="FFFFFF" w:sz="0" w:space="0"/>
              <w:bottom w:val="none" w:color="FFFFFF" w:sz="0" w:space="0"/>
              <w:right w:val="none" w:color="FFFFFF" w:sz="0" w:space="0"/>
            </w:tcBorders>
            <w:tcMar>
              <w:top w:w="40" w:type="dxa"/>
            </w:tcMar>
          </w:tcPr>
          <w:p w:rsidR="004421DC" w:rsidRDefault="00D479E8" w14:paraId="4F49C378" w14:textId="77777777">
            <w:pPr>
              <w:spacing w:after="40"/>
            </w:pPr>
            <w:r>
              <w:rPr>
                <w:b/>
                <w:bCs/>
              </w:rPr>
              <w:t>Decisions are delayed waiting for numbers</w:t>
            </w:r>
          </w:p>
          <w:p w:rsidR="004421DC" w:rsidRDefault="00D479E8" w14:paraId="0182B26E" w14:textId="77777777">
            <w:pPr>
              <w:spacing w:line="270" w:lineRule="auto"/>
            </w:pPr>
            <w:r>
              <w:rPr>
                <w:color w:val="6B7280"/>
                <w:sz w:val="20"/>
                <w:szCs w:val="20"/>
              </w:rPr>
              <w:t>By the time the numbers are ready, the moment to act on them has usually passed.</w:t>
            </w:r>
          </w:p>
        </w:tc>
      </w:tr>
    </w:tbl>
    <w:p w:rsidR="004421DC" w:rsidRDefault="004421DC" w14:paraId="6D98A12B" w14:textId="77777777">
      <w:pPr>
        <w:pBdr>
          <w:bottom w:val="single" w:color="E5E7EB" w:sz="4" w:space="1"/>
        </w:pBdr>
        <w:spacing w:before="90" w:after="90"/>
      </w:pPr>
    </w:p>
    <w:tbl>
      <w:tblPr>
        <w:tblW w:w="986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750"/>
        <w:gridCol w:w="9115"/>
      </w:tblGrid>
      <w:tr w:rsidR="004421DC" w14:paraId="342B599D" w14:textId="77777777">
        <w:tblPrEx>
          <w:tblCellMar>
            <w:top w:w="0" w:type="dxa"/>
            <w:bottom w:w="0" w:type="dxa"/>
          </w:tblCellMar>
        </w:tblPrEx>
        <w:trPr>
          <w:cantSplit/>
        </w:trPr>
        <w:tc>
          <w:tcPr>
            <w:tcW w:w="750" w:type="dxa"/>
            <w:tcBorders>
              <w:top w:val="none" w:color="FFFFFF" w:sz="0" w:space="0"/>
              <w:left w:val="none" w:color="FFFFFF" w:sz="0" w:space="0"/>
              <w:bottom w:val="none" w:color="FFFFFF" w:sz="0" w:space="0"/>
              <w:right w:val="none" w:color="FFFFFF" w:sz="0" w:space="0"/>
            </w:tcBorders>
            <w:tcMar>
              <w:top w:w="40" w:type="dxa"/>
              <w:right w:w="80" w:type="dxa"/>
            </w:tcMar>
          </w:tcPr>
          <w:p w:rsidR="004421DC" w:rsidRDefault="00D479E8" w14:paraId="05988CCC" w14:textId="77777777">
            <w:r>
              <w:rPr>
                <w:b/>
                <w:bCs/>
                <w:color w:val="8754E9"/>
                <w:sz w:val="30"/>
                <w:szCs w:val="30"/>
              </w:rPr>
              <w:t>07</w:t>
            </w:r>
          </w:p>
        </w:tc>
        <w:tc>
          <w:tcPr>
            <w:tcW w:w="9115" w:type="dxa"/>
            <w:tcBorders>
              <w:top w:val="none" w:color="FFFFFF" w:sz="0" w:space="0"/>
              <w:left w:val="none" w:color="FFFFFF" w:sz="0" w:space="0"/>
              <w:bottom w:val="none" w:color="FFFFFF" w:sz="0" w:space="0"/>
              <w:right w:val="none" w:color="FFFFFF" w:sz="0" w:space="0"/>
            </w:tcBorders>
            <w:tcMar>
              <w:top w:w="40" w:type="dxa"/>
            </w:tcMar>
          </w:tcPr>
          <w:p w:rsidR="004421DC" w:rsidRDefault="00D479E8" w14:paraId="0C90E1EE" w14:textId="77777777">
            <w:pPr>
              <w:spacing w:after="40"/>
            </w:pPr>
            <w:r>
              <w:rPr>
                <w:b/>
                <w:bCs/>
              </w:rPr>
              <w:t>Handoffs between teams are inconsistent</w:t>
            </w:r>
          </w:p>
          <w:p w:rsidR="004421DC" w:rsidRDefault="00D479E8" w14:paraId="07B6F259" w14:textId="77777777">
            <w:pPr>
              <w:spacing w:line="270" w:lineRule="auto"/>
            </w:pPr>
            <w:r>
              <w:rPr>
                <w:color w:val="6B7280"/>
                <w:sz w:val="20"/>
                <w:szCs w:val="20"/>
              </w:rPr>
              <w:t>Work passes between teams with no consistent process, so things get lost or duplicated.</w:t>
            </w:r>
          </w:p>
        </w:tc>
      </w:tr>
    </w:tbl>
    <w:p w:rsidR="004421DC" w:rsidRDefault="004421DC" w14:paraId="2946DB82" w14:textId="77777777">
      <w:pPr>
        <w:pBdr>
          <w:bottom w:val="single" w:color="E5E7EB" w:sz="4" w:space="1"/>
        </w:pBdr>
        <w:spacing w:before="90" w:after="90"/>
      </w:pPr>
    </w:p>
    <w:tbl>
      <w:tblPr>
        <w:tblW w:w="986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750"/>
        <w:gridCol w:w="9115"/>
      </w:tblGrid>
      <w:tr w:rsidR="004421DC" w14:paraId="1BD1F42E" w14:textId="77777777">
        <w:tblPrEx>
          <w:tblCellMar>
            <w:top w:w="0" w:type="dxa"/>
            <w:bottom w:w="0" w:type="dxa"/>
          </w:tblCellMar>
        </w:tblPrEx>
        <w:trPr>
          <w:cantSplit/>
        </w:trPr>
        <w:tc>
          <w:tcPr>
            <w:tcW w:w="750" w:type="dxa"/>
            <w:tcBorders>
              <w:top w:val="none" w:color="FFFFFF" w:sz="0" w:space="0"/>
              <w:left w:val="none" w:color="FFFFFF" w:sz="0" w:space="0"/>
              <w:bottom w:val="none" w:color="FFFFFF" w:sz="0" w:space="0"/>
              <w:right w:val="none" w:color="FFFFFF" w:sz="0" w:space="0"/>
            </w:tcBorders>
            <w:tcMar>
              <w:top w:w="40" w:type="dxa"/>
              <w:right w:w="80" w:type="dxa"/>
            </w:tcMar>
          </w:tcPr>
          <w:p w:rsidR="004421DC" w:rsidRDefault="00D479E8" w14:paraId="5DA17688" w14:textId="77777777">
            <w:r>
              <w:rPr>
                <w:b/>
                <w:bCs/>
                <w:color w:val="8754E9"/>
                <w:sz w:val="30"/>
                <w:szCs w:val="30"/>
              </w:rPr>
              <w:t>08</w:t>
            </w:r>
          </w:p>
        </w:tc>
        <w:tc>
          <w:tcPr>
            <w:tcW w:w="9115" w:type="dxa"/>
            <w:tcBorders>
              <w:top w:val="none" w:color="FFFFFF" w:sz="0" w:space="0"/>
              <w:left w:val="none" w:color="FFFFFF" w:sz="0" w:space="0"/>
              <w:bottom w:val="none" w:color="FFFFFF" w:sz="0" w:space="0"/>
              <w:right w:val="none" w:color="FFFFFF" w:sz="0" w:space="0"/>
            </w:tcBorders>
            <w:tcMar>
              <w:top w:w="40" w:type="dxa"/>
            </w:tcMar>
          </w:tcPr>
          <w:p w:rsidR="004421DC" w:rsidRDefault="00D479E8" w14:paraId="1328AB69" w14:textId="77777777">
            <w:pPr>
              <w:spacing w:after="40"/>
            </w:pPr>
            <w:r>
              <w:rPr>
                <w:b/>
                <w:bCs/>
              </w:rPr>
              <w:t>Results depend on who's doing the work</w:t>
            </w:r>
          </w:p>
          <w:p w:rsidR="004421DC" w:rsidRDefault="00D479E8" w14:paraId="42D871A5" w14:textId="77777777">
            <w:pPr>
              <w:spacing w:line="270" w:lineRule="auto"/>
            </w:pPr>
            <w:r>
              <w:rPr>
                <w:color w:val="6B7280"/>
                <w:sz w:val="20"/>
                <w:szCs w:val="20"/>
              </w:rPr>
              <w:t>Top performers vastly outpace everyone else because there's no standard process, and that doesn't scale.</w:t>
            </w:r>
          </w:p>
        </w:tc>
      </w:tr>
    </w:tbl>
    <w:p w:rsidR="004421DC" w:rsidRDefault="004421DC" w14:paraId="5997CC1D" w14:textId="77777777">
      <w:pPr>
        <w:pBdr>
          <w:bottom w:val="single" w:color="E5E7EB" w:sz="4" w:space="1"/>
        </w:pBdr>
        <w:spacing w:before="90" w:after="90"/>
      </w:pPr>
    </w:p>
    <w:tbl>
      <w:tblPr>
        <w:tblW w:w="986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750"/>
        <w:gridCol w:w="9115"/>
      </w:tblGrid>
      <w:tr w:rsidR="004421DC" w14:paraId="5AC18227" w14:textId="77777777">
        <w:tblPrEx>
          <w:tblCellMar>
            <w:top w:w="0" w:type="dxa"/>
            <w:bottom w:w="0" w:type="dxa"/>
          </w:tblCellMar>
        </w:tblPrEx>
        <w:trPr>
          <w:cantSplit/>
        </w:trPr>
        <w:tc>
          <w:tcPr>
            <w:tcW w:w="750" w:type="dxa"/>
            <w:tcBorders>
              <w:top w:val="none" w:color="FFFFFF" w:sz="0" w:space="0"/>
              <w:left w:val="none" w:color="FFFFFF" w:sz="0" w:space="0"/>
              <w:bottom w:val="none" w:color="FFFFFF" w:sz="0" w:space="0"/>
              <w:right w:val="none" w:color="FFFFFF" w:sz="0" w:space="0"/>
            </w:tcBorders>
            <w:tcMar>
              <w:top w:w="40" w:type="dxa"/>
              <w:right w:w="80" w:type="dxa"/>
            </w:tcMar>
          </w:tcPr>
          <w:p w:rsidR="004421DC" w:rsidRDefault="00D479E8" w14:paraId="28B3F3FC" w14:textId="77777777">
            <w:r>
              <w:rPr>
                <w:b/>
                <w:bCs/>
                <w:color w:val="8754E9"/>
                <w:sz w:val="30"/>
                <w:szCs w:val="30"/>
              </w:rPr>
              <w:t>09</w:t>
            </w:r>
          </w:p>
        </w:tc>
        <w:tc>
          <w:tcPr>
            <w:tcW w:w="9115" w:type="dxa"/>
            <w:tcBorders>
              <w:top w:val="none" w:color="FFFFFF" w:sz="0" w:space="0"/>
              <w:left w:val="none" w:color="FFFFFF" w:sz="0" w:space="0"/>
              <w:bottom w:val="none" w:color="FFFFFF" w:sz="0" w:space="0"/>
              <w:right w:val="none" w:color="FFFFFF" w:sz="0" w:space="0"/>
            </w:tcBorders>
            <w:tcMar>
              <w:top w:w="40" w:type="dxa"/>
            </w:tcMar>
          </w:tcPr>
          <w:p w:rsidR="004421DC" w:rsidRDefault="00D479E8" w14:paraId="57CC8A91" w14:textId="77777777">
            <w:pPr>
              <w:spacing w:after="40"/>
            </w:pPr>
            <w:r>
              <w:rPr>
                <w:b/>
                <w:bCs/>
              </w:rPr>
              <w:t>New hires take months to become useful</w:t>
            </w:r>
          </w:p>
          <w:p w:rsidR="004421DC" w:rsidRDefault="00D479E8" w14:paraId="1791EB6C" w14:textId="77777777">
            <w:pPr>
              <w:spacing w:line="270" w:lineRule="auto"/>
            </w:pPr>
            <w:r>
              <w:rPr>
                <w:color w:val="6B7280"/>
                <w:sz w:val="20"/>
                <w:szCs w:val="20"/>
              </w:rPr>
              <w:t>Knowledge lives in people's heads, so every new starter has to rediscover it by asking around.</w:t>
            </w:r>
          </w:p>
        </w:tc>
      </w:tr>
    </w:tbl>
    <w:p w:rsidR="004421DC" w:rsidRDefault="004421DC" w14:paraId="110FFD37" w14:textId="77777777">
      <w:pPr>
        <w:pBdr>
          <w:bottom w:val="single" w:color="E5E7EB" w:sz="4" w:space="1"/>
        </w:pBdr>
        <w:spacing w:before="90" w:after="90"/>
      </w:pPr>
    </w:p>
    <w:tbl>
      <w:tblPr>
        <w:tblW w:w="986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750"/>
        <w:gridCol w:w="9115"/>
      </w:tblGrid>
      <w:tr w:rsidR="004421DC" w14:paraId="032CAEBB" w14:textId="77777777">
        <w:tblPrEx>
          <w:tblCellMar>
            <w:top w:w="0" w:type="dxa"/>
            <w:bottom w:w="0" w:type="dxa"/>
          </w:tblCellMar>
        </w:tblPrEx>
        <w:trPr>
          <w:cantSplit/>
        </w:trPr>
        <w:tc>
          <w:tcPr>
            <w:tcW w:w="750" w:type="dxa"/>
            <w:tcBorders>
              <w:top w:val="none" w:color="FFFFFF" w:sz="0" w:space="0"/>
              <w:left w:val="none" w:color="FFFFFF" w:sz="0" w:space="0"/>
              <w:bottom w:val="none" w:color="FFFFFF" w:sz="0" w:space="0"/>
              <w:right w:val="none" w:color="FFFFFF" w:sz="0" w:space="0"/>
            </w:tcBorders>
            <w:tcMar>
              <w:top w:w="40" w:type="dxa"/>
              <w:right w:w="80" w:type="dxa"/>
            </w:tcMar>
          </w:tcPr>
          <w:p w:rsidR="004421DC" w:rsidRDefault="00D479E8" w14:paraId="5D369756" w14:textId="77777777">
            <w:r>
              <w:rPr>
                <w:b/>
                <w:bCs/>
                <w:color w:val="8754E9"/>
                <w:sz w:val="30"/>
                <w:szCs w:val="30"/>
              </w:rPr>
              <w:t>10</w:t>
            </w:r>
          </w:p>
        </w:tc>
        <w:tc>
          <w:tcPr>
            <w:tcW w:w="9115" w:type="dxa"/>
            <w:tcBorders>
              <w:top w:val="none" w:color="FFFFFF" w:sz="0" w:space="0"/>
              <w:left w:val="none" w:color="FFFFFF" w:sz="0" w:space="0"/>
              <w:bottom w:val="none" w:color="FFFFFF" w:sz="0" w:space="0"/>
              <w:right w:val="none" w:color="FFFFFF" w:sz="0" w:space="0"/>
            </w:tcBorders>
            <w:tcMar>
              <w:top w:w="40" w:type="dxa"/>
            </w:tcMar>
          </w:tcPr>
          <w:p w:rsidR="004421DC" w:rsidRDefault="00D479E8" w14:paraId="7DACB94D" w14:textId="77777777">
            <w:pPr>
              <w:spacing w:after="40"/>
            </w:pPr>
            <w:r>
              <w:rPr>
                <w:b/>
                <w:bCs/>
              </w:rPr>
              <w:t>Bottlenecks only get noticed after they cause damage</w:t>
            </w:r>
          </w:p>
          <w:p w:rsidR="004421DC" w:rsidRDefault="00D479E8" w14:paraId="6325F21A" w14:textId="77777777">
            <w:pPr>
              <w:spacing w:line="270" w:lineRule="auto"/>
            </w:pPr>
            <w:r>
              <w:rPr>
                <w:color w:val="6B7280"/>
                <w:sz w:val="20"/>
                <w:szCs w:val="20"/>
              </w:rPr>
              <w:t>There's no visibility into where things are actually getting stuck.</w:t>
            </w:r>
          </w:p>
        </w:tc>
      </w:tr>
    </w:tbl>
    <w:p w:rsidR="004421DC" w:rsidRDefault="004421DC" w14:paraId="6B699379" w14:textId="77777777">
      <w:pPr>
        <w:spacing w:after="160"/>
      </w:pPr>
    </w:p>
    <w:p w:rsidR="004421DC" w:rsidRDefault="00D479E8" w14:paraId="07306EA2" w14:textId="77777777">
      <w:pPr>
        <w:spacing w:before="100" w:after="100"/>
      </w:pPr>
      <w:r>
        <w:rPr>
          <w:b/>
          <w:bCs/>
          <w:sz w:val="25"/>
          <w:szCs w:val="25"/>
        </w:rPr>
        <w:t>Score yourself</w:t>
      </w:r>
    </w:p>
    <w:p w:rsidR="004421DC" w:rsidRDefault="00D479E8" w14:paraId="58EBA8A4" w14:textId="77777777">
      <w:pPr>
        <w:spacing w:after="120" w:line="300" w:lineRule="auto"/>
      </w:pPr>
      <w:r>
        <w:t>Count how many of the ten signs you recognised.</w:t>
      </w:r>
    </w:p>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3278"/>
        <w:gridCol w:w="3278"/>
        <w:gridCol w:w="3279"/>
      </w:tblGrid>
      <w:tr w:rsidR="004421DC" w14:paraId="44112F41" w14:textId="77777777">
        <w:tblPrEx>
          <w:tblCellMar>
            <w:top w:w="0" w:type="dxa"/>
            <w:bottom w:w="0" w:type="dxa"/>
          </w:tblCellMar>
        </w:tblPrEx>
        <w:tc>
          <w:tcPr>
            <w:tcW w:w="1650" w:type="pct"/>
            <w:tcBorders>
              <w:top w:val="none" w:color="FFFFFF" w:sz="0" w:space="0"/>
              <w:left w:val="single" w:color="639922" w:sz="24" w:space="0"/>
              <w:bottom w:val="none" w:color="FFFFFF" w:sz="0" w:space="0"/>
              <w:right w:val="none" w:color="FFFFFF" w:sz="0" w:space="0"/>
            </w:tcBorders>
            <w:shd w:val="clear" w:color="auto" w:fill="F7F5FC"/>
            <w:tcMar>
              <w:top w:w="180" w:type="dxa"/>
              <w:left w:w="200" w:type="dxa"/>
              <w:bottom w:w="180" w:type="dxa"/>
              <w:right w:w="200" w:type="dxa"/>
            </w:tcMar>
          </w:tcPr>
          <w:p w:rsidR="004421DC" w:rsidRDefault="00D479E8" w14:paraId="0529BF67" w14:textId="77777777">
            <w:pPr>
              <w:spacing w:after="50"/>
            </w:pPr>
            <w:r>
              <w:rPr>
                <w:b/>
                <w:bCs/>
                <w:sz w:val="26"/>
                <w:szCs w:val="26"/>
              </w:rPr>
              <w:t>0–3 signs</w:t>
            </w:r>
          </w:p>
          <w:p w:rsidR="004421DC" w:rsidRDefault="00D479E8" w14:paraId="2446734C" w14:textId="77777777">
            <w:r>
              <w:rPr>
                <w:color w:val="6B7280"/>
                <w:sz w:val="18"/>
                <w:szCs w:val="18"/>
              </w:rPr>
              <w:t>Green, you're in reasonable shape</w:t>
            </w:r>
          </w:p>
        </w:tc>
        <w:tc>
          <w:tcPr>
            <w:tcW w:w="1650" w:type="pct"/>
            <w:tcBorders>
              <w:top w:val="none" w:color="FFFFFF" w:sz="0" w:space="0"/>
              <w:left w:val="single" w:color="BA7517" w:sz="24" w:space="0"/>
              <w:bottom w:val="none" w:color="FFFFFF" w:sz="0" w:space="0"/>
              <w:right w:val="none" w:color="FFFFFF" w:sz="0" w:space="0"/>
            </w:tcBorders>
            <w:shd w:val="clear" w:color="auto" w:fill="F7F5FC"/>
            <w:tcMar>
              <w:top w:w="180" w:type="dxa"/>
              <w:left w:w="200" w:type="dxa"/>
              <w:bottom w:w="180" w:type="dxa"/>
              <w:right w:w="200" w:type="dxa"/>
            </w:tcMar>
          </w:tcPr>
          <w:p w:rsidR="004421DC" w:rsidRDefault="00D479E8" w14:paraId="2850FDB8" w14:textId="77777777">
            <w:pPr>
              <w:spacing w:after="50"/>
            </w:pPr>
            <w:r>
              <w:rPr>
                <w:b/>
                <w:bCs/>
                <w:sz w:val="26"/>
                <w:szCs w:val="26"/>
              </w:rPr>
              <w:t>4–7 signs</w:t>
            </w:r>
          </w:p>
          <w:p w:rsidR="004421DC" w:rsidRDefault="00D479E8" w14:paraId="1D3F75C5" w14:textId="77777777">
            <w:r>
              <w:rPr>
                <w:color w:val="6B7280"/>
                <w:sz w:val="18"/>
                <w:szCs w:val="18"/>
              </w:rPr>
              <w:t>Amber, worth addressing soon</w:t>
            </w:r>
          </w:p>
        </w:tc>
        <w:tc>
          <w:tcPr>
            <w:tcW w:w="1650" w:type="pct"/>
            <w:tcBorders>
              <w:top w:val="none" w:color="FFFFFF" w:sz="0" w:space="0"/>
              <w:left w:val="single" w:color="A32D2D" w:sz="24" w:space="0"/>
              <w:bottom w:val="none" w:color="FFFFFF" w:sz="0" w:space="0"/>
              <w:right w:val="none" w:color="FFFFFF" w:sz="0" w:space="0"/>
            </w:tcBorders>
            <w:shd w:val="clear" w:color="auto" w:fill="F7F5FC"/>
            <w:tcMar>
              <w:top w:w="180" w:type="dxa"/>
              <w:left w:w="200" w:type="dxa"/>
              <w:bottom w:w="180" w:type="dxa"/>
              <w:right w:w="200" w:type="dxa"/>
            </w:tcMar>
          </w:tcPr>
          <w:p w:rsidR="004421DC" w:rsidRDefault="00D479E8" w14:paraId="696AD8EC" w14:textId="77777777">
            <w:pPr>
              <w:spacing w:after="50"/>
            </w:pPr>
            <w:r>
              <w:rPr>
                <w:b/>
                <w:bCs/>
                <w:sz w:val="26"/>
                <w:szCs w:val="26"/>
              </w:rPr>
              <w:t>8–10 signs</w:t>
            </w:r>
          </w:p>
          <w:p w:rsidR="004421DC" w:rsidRDefault="00D479E8" w14:paraId="4D0B234F" w14:textId="77777777">
            <w:r>
              <w:rPr>
                <w:color w:val="6B7280"/>
                <w:sz w:val="18"/>
                <w:szCs w:val="18"/>
              </w:rPr>
              <w:t>Red, this is actively costing you</w:t>
            </w:r>
          </w:p>
        </w:tc>
      </w:tr>
    </w:tbl>
    <w:p w:rsidR="004421DC" w:rsidRDefault="004421DC" w14:paraId="3FE9F23F" w14:textId="77777777">
      <w:pPr>
        <w:spacing w:after="140"/>
      </w:pPr>
    </w:p>
    <w:p w:rsidR="004421DC" w:rsidRDefault="00D479E8" w14:paraId="591296DE" w14:textId="77777777">
      <w:pPr>
        <w:spacing w:after="160" w:line="300" w:lineRule="auto"/>
      </w:pPr>
      <w:r>
        <w:t>Score amber or red and the rest of this guide is written for you. The next section puts a number on what that's actually costing.</w:t>
      </w:r>
    </w:p>
    <w:p w:rsidR="004421DC" w:rsidRDefault="004421DC" w14:paraId="1F72F646" w14:textId="77777777">
      <w:pPr>
        <w:spacing w:after="140"/>
      </w:pPr>
    </w:p>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835"/>
      </w:tblGrid>
      <w:tr w:rsidR="004421DC" w:rsidTr="7068594A" w14:paraId="32FF96A4" w14:textId="77777777">
        <w:tblPrEx>
          <w:tblCellMar>
            <w:top w:w="0" w:type="dxa"/>
            <w:bottom w:w="0" w:type="dxa"/>
          </w:tblCellMar>
        </w:tblPrEx>
        <w:trPr>
          <w:cantSplit/>
        </w:trPr>
        <w:tc>
          <w:tcPr>
            <w:tcW w:w="5000" w:type="pct"/>
            <w:tcBorders>
              <w:top w:val="none" w:color="FFFFFF" w:themeColor="background1" w:sz="0" w:space="0"/>
              <w:left w:val="single" w:color="8754E9" w:sz="24" w:space="0"/>
              <w:bottom w:val="none" w:color="FFFFFF" w:themeColor="background1" w:sz="0" w:space="0"/>
              <w:right w:val="none" w:color="FFFFFF" w:themeColor="background1" w:sz="0" w:space="0"/>
            </w:tcBorders>
            <w:shd w:val="clear" w:color="auto" w:fill="F7F5FC"/>
            <w:tcMar>
              <w:top w:w="200" w:type="dxa"/>
              <w:left w:w="260" w:type="dxa"/>
              <w:bottom w:w="200" w:type="dxa"/>
              <w:right w:w="260" w:type="dxa"/>
            </w:tcMar>
          </w:tcPr>
          <w:p w:rsidR="004421DC" w:rsidRDefault="00D479E8" w14:paraId="45314981" w14:textId="77777777">
            <w:pPr>
              <w:spacing w:after="80"/>
            </w:pPr>
            <w:r>
              <w:rPr>
                <w:b/>
                <w:bCs/>
                <w:color w:val="6B7280"/>
                <w:spacing w:val="12"/>
                <w:sz w:val="16"/>
                <w:szCs w:val="16"/>
              </w:rPr>
              <w:t>CODM'S PERSPECTIVE</w:t>
            </w:r>
          </w:p>
          <w:p w:rsidR="004421DC" w:rsidRDefault="00D479E8" w14:paraId="1C26FB71" w14:textId="77777777">
            <w:pPr>
              <w:spacing w:line="300" w:lineRule="auto"/>
            </w:pPr>
            <w:r>
              <w:t>Most clients expect to recognise four or five of these. It's common to find seven or eight once we look closely together, and that's usually the moment a vague sense that 'things could be better' becomes a specific, fundable case for change.</w:t>
            </w:r>
          </w:p>
        </w:tc>
      </w:tr>
    </w:tbl>
    <w:p w:rsidR="7068594A" w:rsidP="7068594A" w:rsidRDefault="7068594A" w14:paraId="75B28B74" w14:textId="4EB54C83">
      <w:pPr>
        <w:pStyle w:val="Normal"/>
        <w:rPr>
          <w:b w:val="1"/>
          <w:bCs w:val="1"/>
          <w:color w:val="8754E9"/>
          <w:sz w:val="16"/>
          <w:szCs w:val="16"/>
        </w:rPr>
      </w:pPr>
    </w:p>
    <w:p w:rsidR="7068594A" w:rsidP="7068594A" w:rsidRDefault="7068594A" w14:paraId="77BF94DB" w14:textId="40E06BB8">
      <w:pPr>
        <w:pStyle w:val="Normal"/>
        <w:rPr>
          <w:b w:val="1"/>
          <w:bCs w:val="1"/>
          <w:color w:val="8754E9"/>
          <w:sz w:val="16"/>
          <w:szCs w:val="16"/>
        </w:rPr>
      </w:pPr>
    </w:p>
    <w:p w:rsidR="004421DC" w:rsidP="7068594A" w:rsidRDefault="00D479E8" w14:paraId="3F28C489" w14:textId="6C7351CF">
      <w:pPr>
        <w:pStyle w:val="Normal"/>
        <w:spacing w:after="100"/>
      </w:pPr>
      <w:r w:rsidRPr="7068594A" w:rsidR="00D479E8">
        <w:rPr>
          <w:b w:val="1"/>
          <w:bCs w:val="1"/>
          <w:color w:val="8754E9"/>
          <w:sz w:val="16"/>
          <w:szCs w:val="16"/>
        </w:rPr>
        <w:t>DIAGNOSIS</w:t>
      </w:r>
    </w:p>
    <w:p w:rsidR="004421DC" w:rsidRDefault="00D479E8" w14:paraId="07CDA3E2" w14:textId="77777777">
      <w:pPr>
        <w:spacing w:after="60"/>
      </w:pPr>
      <w:r>
        <w:rPr>
          <w:b/>
          <w:bCs/>
          <w:sz w:val="36"/>
          <w:szCs w:val="36"/>
        </w:rPr>
        <w:t>The CODM operational maturity framework</w:t>
      </w:r>
    </w:p>
    <w:tbl>
      <w:tblPr>
        <w:tblW w:w="90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0"/>
      </w:tblGrid>
      <w:tr w:rsidR="004421DC" w14:paraId="61CDCEAD" w14:textId="77777777">
        <w:tblPrEx>
          <w:tblCellMar>
            <w:top w:w="0" w:type="dxa"/>
            <w:bottom w:w="0" w:type="dxa"/>
          </w:tblCellMar>
        </w:tblPrEx>
        <w:trPr>
          <w:trHeight w:val="50" w:hRule="exact"/>
        </w:trPr>
        <w:tc>
          <w:tcPr>
            <w:tcW w:w="900" w:type="dxa"/>
            <w:tcBorders>
              <w:top w:val="none" w:color="FFFFFF" w:sz="0" w:space="0"/>
              <w:left w:val="none" w:color="FFFFFF" w:sz="0" w:space="0"/>
              <w:bottom w:val="none" w:color="FFFFFF" w:sz="0" w:space="0"/>
              <w:right w:val="none" w:color="FFFFFF" w:sz="0" w:space="0"/>
            </w:tcBorders>
            <w:shd w:val="clear" w:color="auto" w:fill="8754E9"/>
          </w:tcPr>
          <w:p w:rsidR="004421DC" w:rsidRDefault="004421DC" w14:paraId="6BB9E253" w14:textId="77777777"/>
        </w:tc>
      </w:tr>
    </w:tbl>
    <w:p w:rsidR="004421DC" w:rsidRDefault="004421DC" w14:paraId="23DE523C" w14:textId="77777777">
      <w:pPr>
        <w:spacing w:after="140"/>
      </w:pPr>
    </w:p>
    <w:p w:rsidR="004421DC" w:rsidP="7068594A" w:rsidRDefault="004421DC" w14:paraId="52E56223" w14:textId="6EBD7F3D">
      <w:pPr>
        <w:spacing w:after="160" w:line="300" w:lineRule="auto"/>
      </w:pPr>
      <w:r w:rsidR="00D479E8">
        <w:rPr/>
        <w:t xml:space="preserve">Every organisation sits somewhere on a five-stage maturity curve, </w:t>
      </w:r>
      <w:r w:rsidR="00D479E8">
        <w:rPr/>
        <w:t>whether or not</w:t>
      </w:r>
      <w:r w:rsidR="00D479E8">
        <w:rPr/>
        <w:t xml:space="preserve"> </w:t>
      </w:r>
      <w:r w:rsidR="00D479E8">
        <w:rPr/>
        <w:t>anyone's</w:t>
      </w:r>
      <w:r w:rsidR="00D479E8">
        <w:rPr/>
        <w:t xml:space="preserve"> ever mapped it out. Knowing your stage tells you </w:t>
      </w:r>
      <w:r w:rsidR="00D479E8">
        <w:rPr/>
        <w:t>roughly what</w:t>
      </w:r>
      <w:r w:rsidR="00D479E8">
        <w:rPr/>
        <w:t xml:space="preserve"> inefficiency is costing you today, broken down by organisation size, and what the next stage </w:t>
      </w:r>
      <w:r w:rsidR="00D479E8">
        <w:rPr/>
        <w:t>actually looks</w:t>
      </w:r>
      <w:r w:rsidR="00D479E8">
        <w:rPr/>
        <w:t xml:space="preserve"> like.</w:t>
      </w:r>
    </w:p>
    <w:tbl>
      <w:tblPr>
        <w:tblW w:w="9865" w:type="dxa"/>
        <w:tblInd w:w="-3" w:type="dxa"/>
        <w:tblBorders>
          <w:top w:val="single" w:color="E5E7EB" w:sz="4" w:space="0"/>
          <w:left w:val="single" w:color="E5E7EB" w:sz="4" w:space="0"/>
          <w:bottom w:val="single" w:color="E5E7EB" w:sz="4" w:space="0"/>
          <w:right w:val="single" w:color="E5E7EB" w:sz="4" w:space="0"/>
          <w:insideH w:val="single" w:color="E5E7EB" w:sz="4" w:space="0"/>
          <w:insideV w:val="single" w:color="E5E7EB" w:sz="4" w:space="0"/>
        </w:tblBorders>
        <w:tblCellMar>
          <w:left w:w="10" w:type="dxa"/>
          <w:right w:w="10" w:type="dxa"/>
        </w:tblCellMar>
        <w:tblLook w:val="04A0" w:firstRow="1" w:lastRow="0" w:firstColumn="1" w:lastColumn="0" w:noHBand="0" w:noVBand="1"/>
      </w:tblPr>
      <w:tblGrid>
        <w:gridCol w:w="2500"/>
        <w:gridCol w:w="2500"/>
        <w:gridCol w:w="2500"/>
        <w:gridCol w:w="2365"/>
      </w:tblGrid>
      <w:tr w:rsidR="004421DC" w14:paraId="65BD7A35" w14:textId="77777777">
        <w:tblPrEx>
          <w:tblCellMar>
            <w:top w:w="0" w:type="dxa"/>
            <w:bottom w:w="0" w:type="dxa"/>
          </w:tblCellMar>
        </w:tblPrEx>
        <w:trPr>
          <w:cantSplit/>
          <w:tblHeader/>
        </w:trPr>
        <w:tc>
          <w:tcPr>
            <w:tcW w:w="2500" w:type="dxa"/>
            <w:shd w:val="clear" w:color="auto" w:fill="8754E9"/>
            <w:tcMar>
              <w:top w:w="130" w:type="dxa"/>
              <w:left w:w="150" w:type="dxa"/>
              <w:bottom w:w="130" w:type="dxa"/>
              <w:right w:w="150" w:type="dxa"/>
            </w:tcMar>
            <w:vAlign w:val="center"/>
          </w:tcPr>
          <w:p w:rsidR="004421DC" w:rsidRDefault="00D479E8" w14:paraId="53E18556" w14:textId="77777777">
            <w:r>
              <w:rPr>
                <w:b/>
                <w:bCs/>
                <w:color w:val="FFFFFF"/>
                <w:spacing w:val="5"/>
                <w:sz w:val="17"/>
                <w:szCs w:val="17"/>
              </w:rPr>
              <w:t>STAGE</w:t>
            </w:r>
          </w:p>
        </w:tc>
        <w:tc>
          <w:tcPr>
            <w:tcW w:w="2500" w:type="dxa"/>
            <w:shd w:val="clear" w:color="auto" w:fill="8754E9"/>
            <w:tcMar>
              <w:top w:w="130" w:type="dxa"/>
              <w:left w:w="150" w:type="dxa"/>
              <w:bottom w:w="130" w:type="dxa"/>
              <w:right w:w="150" w:type="dxa"/>
            </w:tcMar>
            <w:vAlign w:val="center"/>
          </w:tcPr>
          <w:p w:rsidR="004421DC" w:rsidRDefault="00D479E8" w14:paraId="1CDAEECC" w14:textId="77777777">
            <w:r>
              <w:rPr>
                <w:b/>
                <w:bCs/>
                <w:color w:val="FFFFFF"/>
                <w:spacing w:val="5"/>
                <w:sz w:val="17"/>
                <w:szCs w:val="17"/>
              </w:rPr>
              <w:t>SMALL</w:t>
            </w:r>
          </w:p>
        </w:tc>
        <w:tc>
          <w:tcPr>
            <w:tcW w:w="2500" w:type="dxa"/>
            <w:shd w:val="clear" w:color="auto" w:fill="8754E9"/>
            <w:tcMar>
              <w:top w:w="130" w:type="dxa"/>
              <w:left w:w="150" w:type="dxa"/>
              <w:bottom w:w="130" w:type="dxa"/>
              <w:right w:w="150" w:type="dxa"/>
            </w:tcMar>
            <w:vAlign w:val="center"/>
          </w:tcPr>
          <w:p w:rsidR="004421DC" w:rsidRDefault="00D479E8" w14:paraId="4ADA89AC" w14:textId="77777777">
            <w:r>
              <w:rPr>
                <w:b/>
                <w:bCs/>
                <w:color w:val="FFFFFF"/>
                <w:spacing w:val="5"/>
                <w:sz w:val="17"/>
                <w:szCs w:val="17"/>
              </w:rPr>
              <w:t>MID-MARKET</w:t>
            </w:r>
          </w:p>
        </w:tc>
        <w:tc>
          <w:tcPr>
            <w:tcW w:w="2365" w:type="dxa"/>
            <w:shd w:val="clear" w:color="auto" w:fill="8754E9"/>
            <w:tcMar>
              <w:top w:w="130" w:type="dxa"/>
              <w:left w:w="150" w:type="dxa"/>
              <w:bottom w:w="130" w:type="dxa"/>
              <w:right w:w="150" w:type="dxa"/>
            </w:tcMar>
            <w:vAlign w:val="center"/>
          </w:tcPr>
          <w:p w:rsidR="004421DC" w:rsidRDefault="00D479E8" w14:paraId="4749248D" w14:textId="77777777">
            <w:r>
              <w:rPr>
                <w:b/>
                <w:bCs/>
                <w:color w:val="FFFFFF"/>
                <w:spacing w:val="5"/>
                <w:sz w:val="17"/>
                <w:szCs w:val="17"/>
              </w:rPr>
              <w:t>ENTERPRISE</w:t>
            </w:r>
          </w:p>
        </w:tc>
      </w:tr>
      <w:tr w:rsidR="004421DC" w14:paraId="464C1865" w14:textId="77777777">
        <w:tblPrEx>
          <w:tblCellMar>
            <w:top w:w="0" w:type="dxa"/>
            <w:bottom w:w="0" w:type="dxa"/>
          </w:tblCellMar>
        </w:tblPrEx>
        <w:trPr>
          <w:cantSplit/>
        </w:trPr>
        <w:tc>
          <w:tcPr>
            <w:tcW w:w="2500" w:type="dxa"/>
            <w:tcMar>
              <w:top w:w="140" w:type="dxa"/>
              <w:left w:w="150" w:type="dxa"/>
              <w:bottom w:w="140" w:type="dxa"/>
              <w:right w:w="150" w:type="dxa"/>
            </w:tcMar>
            <w:vAlign w:val="center"/>
          </w:tcPr>
          <w:p w:rsidR="004421DC" w:rsidRDefault="00D479E8" w14:paraId="7A0B4E51" w14:textId="77777777">
            <w:pPr>
              <w:spacing w:after="30"/>
            </w:pPr>
            <w:r>
              <w:rPr>
                <w:b/>
                <w:bCs/>
                <w:color w:val="8754E9"/>
                <w:sz w:val="20"/>
                <w:szCs w:val="20"/>
              </w:rPr>
              <w:t>1. Reactive</w:t>
            </w:r>
          </w:p>
          <w:p w:rsidR="004421DC" w:rsidRDefault="00D479E8" w14:paraId="7525FED5" w14:textId="77777777">
            <w:r>
              <w:rPr>
                <w:color w:val="9CA3AF"/>
                <w:sz w:val="16"/>
                <w:szCs w:val="16"/>
              </w:rPr>
              <w:t>Spreadsheets, manual work</w:t>
            </w:r>
          </w:p>
        </w:tc>
        <w:tc>
          <w:tcPr>
            <w:tcW w:w="2500" w:type="dxa"/>
            <w:tcMar>
              <w:top w:w="140" w:type="dxa"/>
              <w:left w:w="150" w:type="dxa"/>
              <w:bottom w:w="140" w:type="dxa"/>
              <w:right w:w="150" w:type="dxa"/>
            </w:tcMar>
            <w:vAlign w:val="center"/>
          </w:tcPr>
          <w:p w:rsidR="004421DC" w:rsidRDefault="00D479E8" w14:paraId="401F8CFF" w14:textId="77777777">
            <w:pPr>
              <w:spacing w:line="260" w:lineRule="auto"/>
            </w:pPr>
            <w:r>
              <w:rPr>
                <w:color w:val="6B7280"/>
                <w:sz w:val="20"/>
                <w:szCs w:val="20"/>
              </w:rPr>
              <w:t>£180k–260k</w:t>
            </w:r>
          </w:p>
        </w:tc>
        <w:tc>
          <w:tcPr>
            <w:tcW w:w="2500" w:type="dxa"/>
            <w:tcMar>
              <w:top w:w="140" w:type="dxa"/>
              <w:left w:w="150" w:type="dxa"/>
              <w:bottom w:w="140" w:type="dxa"/>
              <w:right w:w="150" w:type="dxa"/>
            </w:tcMar>
            <w:vAlign w:val="center"/>
          </w:tcPr>
          <w:p w:rsidR="004421DC" w:rsidRDefault="00D479E8" w14:paraId="2F6B713E" w14:textId="77777777">
            <w:pPr>
              <w:spacing w:line="260" w:lineRule="auto"/>
            </w:pPr>
            <w:r>
              <w:rPr>
                <w:b/>
                <w:bCs/>
                <w:color w:val="8754E9"/>
                <w:sz w:val="20"/>
                <w:szCs w:val="20"/>
              </w:rPr>
              <w:t>£450k–650k</w:t>
            </w:r>
          </w:p>
        </w:tc>
        <w:tc>
          <w:tcPr>
            <w:tcW w:w="2365" w:type="dxa"/>
            <w:tcMar>
              <w:top w:w="140" w:type="dxa"/>
              <w:left w:w="150" w:type="dxa"/>
              <w:bottom w:w="140" w:type="dxa"/>
              <w:right w:w="150" w:type="dxa"/>
            </w:tcMar>
            <w:vAlign w:val="center"/>
          </w:tcPr>
          <w:p w:rsidR="004421DC" w:rsidRDefault="00D479E8" w14:paraId="0C14D920" w14:textId="77777777">
            <w:pPr>
              <w:spacing w:line="260" w:lineRule="auto"/>
            </w:pPr>
            <w:r>
              <w:rPr>
                <w:color w:val="6B7280"/>
                <w:sz w:val="20"/>
                <w:szCs w:val="20"/>
              </w:rPr>
              <w:t>£900k–1.3m</w:t>
            </w:r>
          </w:p>
        </w:tc>
      </w:tr>
      <w:tr w:rsidR="004421DC" w14:paraId="7EB88B82" w14:textId="77777777">
        <w:tblPrEx>
          <w:tblCellMar>
            <w:top w:w="0" w:type="dxa"/>
            <w:bottom w:w="0" w:type="dxa"/>
          </w:tblCellMar>
        </w:tblPrEx>
        <w:trPr>
          <w:cantSplit/>
        </w:trPr>
        <w:tc>
          <w:tcPr>
            <w:tcW w:w="2500" w:type="dxa"/>
            <w:tcMar>
              <w:top w:w="140" w:type="dxa"/>
              <w:left w:w="150" w:type="dxa"/>
              <w:bottom w:w="140" w:type="dxa"/>
              <w:right w:w="150" w:type="dxa"/>
            </w:tcMar>
            <w:vAlign w:val="center"/>
          </w:tcPr>
          <w:p w:rsidR="004421DC" w:rsidRDefault="00D479E8" w14:paraId="3C52518A" w14:textId="77777777">
            <w:pPr>
              <w:spacing w:after="30"/>
            </w:pPr>
            <w:r>
              <w:rPr>
                <w:b/>
                <w:bCs/>
                <w:color w:val="8754E9"/>
                <w:sz w:val="20"/>
                <w:szCs w:val="20"/>
              </w:rPr>
              <w:t>2. Managed</w:t>
            </w:r>
          </w:p>
          <w:p w:rsidR="004421DC" w:rsidRDefault="00D479E8" w14:paraId="12118C4C" w14:textId="77777777">
            <w:r>
              <w:rPr>
                <w:color w:val="9CA3AF"/>
                <w:sz w:val="16"/>
                <w:szCs w:val="16"/>
              </w:rPr>
              <w:t>Platform exists, patchy use</w:t>
            </w:r>
          </w:p>
        </w:tc>
        <w:tc>
          <w:tcPr>
            <w:tcW w:w="2500" w:type="dxa"/>
            <w:tcMar>
              <w:top w:w="140" w:type="dxa"/>
              <w:left w:w="150" w:type="dxa"/>
              <w:bottom w:w="140" w:type="dxa"/>
              <w:right w:w="150" w:type="dxa"/>
            </w:tcMar>
            <w:vAlign w:val="center"/>
          </w:tcPr>
          <w:p w:rsidR="004421DC" w:rsidRDefault="00D479E8" w14:paraId="627B104F" w14:textId="77777777">
            <w:pPr>
              <w:spacing w:line="260" w:lineRule="auto"/>
            </w:pPr>
            <w:r>
              <w:rPr>
                <w:color w:val="6B7280"/>
                <w:sz w:val="20"/>
                <w:szCs w:val="20"/>
              </w:rPr>
              <w:t>£100k–160k</w:t>
            </w:r>
          </w:p>
        </w:tc>
        <w:tc>
          <w:tcPr>
            <w:tcW w:w="2500" w:type="dxa"/>
            <w:tcMar>
              <w:top w:w="140" w:type="dxa"/>
              <w:left w:w="150" w:type="dxa"/>
              <w:bottom w:w="140" w:type="dxa"/>
              <w:right w:w="150" w:type="dxa"/>
            </w:tcMar>
            <w:vAlign w:val="center"/>
          </w:tcPr>
          <w:p w:rsidR="004421DC" w:rsidRDefault="00D479E8" w14:paraId="33E5BF77" w14:textId="77777777">
            <w:pPr>
              <w:spacing w:line="260" w:lineRule="auto"/>
            </w:pPr>
            <w:r>
              <w:rPr>
                <w:b/>
                <w:bCs/>
                <w:color w:val="8754E9"/>
                <w:sz w:val="20"/>
                <w:szCs w:val="20"/>
              </w:rPr>
              <w:t>£250k–400k</w:t>
            </w:r>
          </w:p>
        </w:tc>
        <w:tc>
          <w:tcPr>
            <w:tcW w:w="2365" w:type="dxa"/>
            <w:tcMar>
              <w:top w:w="140" w:type="dxa"/>
              <w:left w:w="150" w:type="dxa"/>
              <w:bottom w:w="140" w:type="dxa"/>
              <w:right w:w="150" w:type="dxa"/>
            </w:tcMar>
            <w:vAlign w:val="center"/>
          </w:tcPr>
          <w:p w:rsidR="004421DC" w:rsidRDefault="00D479E8" w14:paraId="2178B1F7" w14:textId="77777777">
            <w:pPr>
              <w:spacing w:line="260" w:lineRule="auto"/>
            </w:pPr>
            <w:r>
              <w:rPr>
                <w:color w:val="6B7280"/>
                <w:sz w:val="20"/>
                <w:szCs w:val="20"/>
              </w:rPr>
              <w:t>£550k–850k</w:t>
            </w:r>
          </w:p>
        </w:tc>
      </w:tr>
      <w:tr w:rsidR="004421DC" w14:paraId="5DE800B3" w14:textId="77777777">
        <w:tblPrEx>
          <w:tblCellMar>
            <w:top w:w="0" w:type="dxa"/>
            <w:bottom w:w="0" w:type="dxa"/>
          </w:tblCellMar>
        </w:tblPrEx>
        <w:trPr>
          <w:cantSplit/>
        </w:trPr>
        <w:tc>
          <w:tcPr>
            <w:tcW w:w="2500" w:type="dxa"/>
            <w:tcMar>
              <w:top w:w="140" w:type="dxa"/>
              <w:left w:w="150" w:type="dxa"/>
              <w:bottom w:w="140" w:type="dxa"/>
              <w:right w:w="150" w:type="dxa"/>
            </w:tcMar>
            <w:vAlign w:val="center"/>
          </w:tcPr>
          <w:p w:rsidR="004421DC" w:rsidRDefault="00D479E8" w14:paraId="192700A4" w14:textId="77777777">
            <w:pPr>
              <w:spacing w:after="30"/>
            </w:pPr>
            <w:r>
              <w:rPr>
                <w:b/>
                <w:bCs/>
                <w:color w:val="8754E9"/>
                <w:sz w:val="20"/>
                <w:szCs w:val="20"/>
              </w:rPr>
              <w:t>3. Optimised</w:t>
            </w:r>
          </w:p>
          <w:p w:rsidR="004421DC" w:rsidRDefault="00D479E8" w14:paraId="7D111B41" w14:textId="77777777">
            <w:r>
              <w:rPr>
                <w:color w:val="9CA3AF"/>
                <w:sz w:val="16"/>
                <w:szCs w:val="16"/>
              </w:rPr>
              <w:t>Integrated, mostly automated</w:t>
            </w:r>
          </w:p>
        </w:tc>
        <w:tc>
          <w:tcPr>
            <w:tcW w:w="2500" w:type="dxa"/>
            <w:tcMar>
              <w:top w:w="140" w:type="dxa"/>
              <w:left w:w="150" w:type="dxa"/>
              <w:bottom w:w="140" w:type="dxa"/>
              <w:right w:w="150" w:type="dxa"/>
            </w:tcMar>
            <w:vAlign w:val="center"/>
          </w:tcPr>
          <w:p w:rsidR="004421DC" w:rsidRDefault="00D479E8" w14:paraId="26AA40EA" w14:textId="77777777">
            <w:pPr>
              <w:spacing w:line="260" w:lineRule="auto"/>
            </w:pPr>
            <w:r>
              <w:rPr>
                <w:color w:val="6B7280"/>
                <w:sz w:val="20"/>
                <w:szCs w:val="20"/>
              </w:rPr>
              <w:t>£30k–60k</w:t>
            </w:r>
          </w:p>
        </w:tc>
        <w:tc>
          <w:tcPr>
            <w:tcW w:w="2500" w:type="dxa"/>
            <w:tcMar>
              <w:top w:w="140" w:type="dxa"/>
              <w:left w:w="150" w:type="dxa"/>
              <w:bottom w:w="140" w:type="dxa"/>
              <w:right w:w="150" w:type="dxa"/>
            </w:tcMar>
            <w:vAlign w:val="center"/>
          </w:tcPr>
          <w:p w:rsidR="004421DC" w:rsidRDefault="00D479E8" w14:paraId="7C38FB34" w14:textId="77777777">
            <w:pPr>
              <w:spacing w:line="260" w:lineRule="auto"/>
            </w:pPr>
            <w:r>
              <w:rPr>
                <w:b/>
                <w:bCs/>
                <w:color w:val="8754E9"/>
                <w:sz w:val="20"/>
                <w:szCs w:val="20"/>
              </w:rPr>
              <w:t>£75k–150k</w:t>
            </w:r>
          </w:p>
        </w:tc>
        <w:tc>
          <w:tcPr>
            <w:tcW w:w="2365" w:type="dxa"/>
            <w:tcMar>
              <w:top w:w="140" w:type="dxa"/>
              <w:left w:w="150" w:type="dxa"/>
              <w:bottom w:w="140" w:type="dxa"/>
              <w:right w:w="150" w:type="dxa"/>
            </w:tcMar>
            <w:vAlign w:val="center"/>
          </w:tcPr>
          <w:p w:rsidR="004421DC" w:rsidRDefault="00D479E8" w14:paraId="3599F4B7" w14:textId="77777777">
            <w:pPr>
              <w:spacing w:line="260" w:lineRule="auto"/>
            </w:pPr>
            <w:r>
              <w:rPr>
                <w:color w:val="6B7280"/>
                <w:sz w:val="20"/>
                <w:szCs w:val="20"/>
              </w:rPr>
              <w:t>£180k–320k</w:t>
            </w:r>
          </w:p>
        </w:tc>
      </w:tr>
      <w:tr w:rsidR="004421DC" w14:paraId="7CBCBFFD" w14:textId="77777777">
        <w:tblPrEx>
          <w:tblCellMar>
            <w:top w:w="0" w:type="dxa"/>
            <w:bottom w:w="0" w:type="dxa"/>
          </w:tblCellMar>
        </w:tblPrEx>
        <w:trPr>
          <w:cantSplit/>
        </w:trPr>
        <w:tc>
          <w:tcPr>
            <w:tcW w:w="2500" w:type="dxa"/>
            <w:tcMar>
              <w:top w:w="140" w:type="dxa"/>
              <w:left w:w="150" w:type="dxa"/>
              <w:bottom w:w="140" w:type="dxa"/>
              <w:right w:w="150" w:type="dxa"/>
            </w:tcMar>
            <w:vAlign w:val="center"/>
          </w:tcPr>
          <w:p w:rsidR="004421DC" w:rsidRDefault="00D479E8" w14:paraId="485951D5" w14:textId="77777777">
            <w:pPr>
              <w:spacing w:after="30"/>
            </w:pPr>
            <w:r>
              <w:rPr>
                <w:b/>
                <w:bCs/>
                <w:color w:val="8754E9"/>
                <w:sz w:val="20"/>
                <w:szCs w:val="20"/>
              </w:rPr>
              <w:t>4. Intelligent</w:t>
            </w:r>
          </w:p>
          <w:p w:rsidR="004421DC" w:rsidRDefault="00D479E8" w14:paraId="3E6FBBBD" w14:textId="77777777">
            <w:r>
              <w:rPr>
                <w:color w:val="9CA3AF"/>
                <w:sz w:val="16"/>
                <w:szCs w:val="16"/>
              </w:rPr>
              <w:t>Predictive, proactive</w:t>
            </w:r>
          </w:p>
        </w:tc>
        <w:tc>
          <w:tcPr>
            <w:tcW w:w="2500" w:type="dxa"/>
            <w:tcMar>
              <w:top w:w="140" w:type="dxa"/>
              <w:left w:w="150" w:type="dxa"/>
              <w:bottom w:w="140" w:type="dxa"/>
              <w:right w:w="150" w:type="dxa"/>
            </w:tcMar>
            <w:vAlign w:val="center"/>
          </w:tcPr>
          <w:p w:rsidR="004421DC" w:rsidRDefault="00D479E8" w14:paraId="65D37586" w14:textId="77777777">
            <w:pPr>
              <w:spacing w:line="260" w:lineRule="auto"/>
            </w:pPr>
            <w:r>
              <w:rPr>
                <w:color w:val="6B7280"/>
                <w:sz w:val="20"/>
                <w:szCs w:val="20"/>
              </w:rPr>
              <w:t>£10k–20k</w:t>
            </w:r>
          </w:p>
        </w:tc>
        <w:tc>
          <w:tcPr>
            <w:tcW w:w="2500" w:type="dxa"/>
            <w:tcMar>
              <w:top w:w="140" w:type="dxa"/>
              <w:left w:w="150" w:type="dxa"/>
              <w:bottom w:w="140" w:type="dxa"/>
              <w:right w:w="150" w:type="dxa"/>
            </w:tcMar>
            <w:vAlign w:val="center"/>
          </w:tcPr>
          <w:p w:rsidR="004421DC" w:rsidRDefault="00D479E8" w14:paraId="2B452592" w14:textId="77777777">
            <w:pPr>
              <w:spacing w:line="260" w:lineRule="auto"/>
            </w:pPr>
            <w:r>
              <w:rPr>
                <w:b/>
                <w:bCs/>
                <w:color w:val="8754E9"/>
                <w:sz w:val="20"/>
                <w:szCs w:val="20"/>
              </w:rPr>
              <w:t>£25k–50k</w:t>
            </w:r>
          </w:p>
        </w:tc>
        <w:tc>
          <w:tcPr>
            <w:tcW w:w="2365" w:type="dxa"/>
            <w:tcMar>
              <w:top w:w="140" w:type="dxa"/>
              <w:left w:w="150" w:type="dxa"/>
              <w:bottom w:w="140" w:type="dxa"/>
              <w:right w:w="150" w:type="dxa"/>
            </w:tcMar>
            <w:vAlign w:val="center"/>
          </w:tcPr>
          <w:p w:rsidR="004421DC" w:rsidRDefault="00D479E8" w14:paraId="35DF20DE" w14:textId="77777777">
            <w:pPr>
              <w:spacing w:line="260" w:lineRule="auto"/>
            </w:pPr>
            <w:r>
              <w:rPr>
                <w:color w:val="6B7280"/>
                <w:sz w:val="20"/>
                <w:szCs w:val="20"/>
              </w:rPr>
              <w:t>£60k–110k</w:t>
            </w:r>
          </w:p>
        </w:tc>
      </w:tr>
      <w:tr w:rsidR="004421DC" w14:paraId="2E442F36" w14:textId="77777777">
        <w:tblPrEx>
          <w:tblCellMar>
            <w:top w:w="0" w:type="dxa"/>
            <w:bottom w:w="0" w:type="dxa"/>
          </w:tblCellMar>
        </w:tblPrEx>
        <w:trPr>
          <w:cantSplit/>
        </w:trPr>
        <w:tc>
          <w:tcPr>
            <w:tcW w:w="2500" w:type="dxa"/>
            <w:tcMar>
              <w:top w:w="140" w:type="dxa"/>
              <w:left w:w="150" w:type="dxa"/>
              <w:bottom w:w="140" w:type="dxa"/>
              <w:right w:w="150" w:type="dxa"/>
            </w:tcMar>
            <w:vAlign w:val="center"/>
          </w:tcPr>
          <w:p w:rsidR="004421DC" w:rsidRDefault="00D479E8" w14:paraId="2C1DF828" w14:textId="77777777">
            <w:pPr>
              <w:spacing w:after="30"/>
            </w:pPr>
            <w:r>
              <w:rPr>
                <w:b/>
                <w:bCs/>
                <w:color w:val="8754E9"/>
                <w:sz w:val="20"/>
                <w:szCs w:val="20"/>
              </w:rPr>
              <w:t>5. Autonomous</w:t>
            </w:r>
          </w:p>
          <w:p w:rsidR="004421DC" w:rsidRDefault="00D479E8" w14:paraId="17E09EB7" w14:textId="77777777">
            <w:r>
              <w:rPr>
                <w:color w:val="9CA3AF"/>
                <w:sz w:val="16"/>
                <w:szCs w:val="16"/>
              </w:rPr>
              <w:t>Self-optimising</w:t>
            </w:r>
          </w:p>
        </w:tc>
        <w:tc>
          <w:tcPr>
            <w:tcW w:w="2500" w:type="dxa"/>
            <w:tcMar>
              <w:top w:w="140" w:type="dxa"/>
              <w:left w:w="150" w:type="dxa"/>
              <w:bottom w:w="140" w:type="dxa"/>
              <w:right w:w="150" w:type="dxa"/>
            </w:tcMar>
            <w:vAlign w:val="center"/>
          </w:tcPr>
          <w:p w:rsidR="004421DC" w:rsidRDefault="00D479E8" w14:paraId="2169AAE5" w14:textId="77777777">
            <w:pPr>
              <w:spacing w:line="260" w:lineRule="auto"/>
            </w:pPr>
            <w:r>
              <w:rPr>
                <w:color w:val="6B7280"/>
                <w:sz w:val="20"/>
                <w:szCs w:val="20"/>
              </w:rPr>
              <w:t>Negligible</w:t>
            </w:r>
          </w:p>
        </w:tc>
        <w:tc>
          <w:tcPr>
            <w:tcW w:w="2500" w:type="dxa"/>
            <w:tcMar>
              <w:top w:w="140" w:type="dxa"/>
              <w:left w:w="150" w:type="dxa"/>
              <w:bottom w:w="140" w:type="dxa"/>
              <w:right w:w="150" w:type="dxa"/>
            </w:tcMar>
            <w:vAlign w:val="center"/>
          </w:tcPr>
          <w:p w:rsidR="004421DC" w:rsidRDefault="00D479E8" w14:paraId="7128DE2B" w14:textId="77777777">
            <w:pPr>
              <w:spacing w:line="260" w:lineRule="auto"/>
            </w:pPr>
            <w:r>
              <w:rPr>
                <w:b/>
                <w:bCs/>
                <w:color w:val="8754E9"/>
                <w:sz w:val="20"/>
                <w:szCs w:val="20"/>
              </w:rPr>
              <w:t>Negligible</w:t>
            </w:r>
          </w:p>
        </w:tc>
        <w:tc>
          <w:tcPr>
            <w:tcW w:w="2365" w:type="dxa"/>
            <w:tcMar>
              <w:top w:w="140" w:type="dxa"/>
              <w:left w:w="150" w:type="dxa"/>
              <w:bottom w:w="140" w:type="dxa"/>
              <w:right w:w="150" w:type="dxa"/>
            </w:tcMar>
            <w:vAlign w:val="center"/>
          </w:tcPr>
          <w:p w:rsidR="004421DC" w:rsidRDefault="00D479E8" w14:paraId="5E555EBF" w14:textId="77777777">
            <w:pPr>
              <w:spacing w:line="260" w:lineRule="auto"/>
            </w:pPr>
            <w:r>
              <w:rPr>
                <w:color w:val="6B7280"/>
                <w:sz w:val="20"/>
                <w:szCs w:val="20"/>
              </w:rPr>
              <w:t>Negligible</w:t>
            </w:r>
          </w:p>
        </w:tc>
      </w:tr>
    </w:tbl>
    <w:p w:rsidR="004421DC" w:rsidRDefault="004421DC" w14:paraId="07547A01" w14:textId="77777777">
      <w:pPr>
        <w:spacing w:after="180"/>
      </w:pPr>
    </w:p>
    <w:tbl>
      <w:tblPr>
        <w:tblW w:w="986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1973"/>
        <w:gridCol w:w="1973"/>
        <w:gridCol w:w="1973"/>
        <w:gridCol w:w="1973"/>
        <w:gridCol w:w="1973"/>
      </w:tblGrid>
      <w:tr w:rsidR="004421DC" w14:paraId="79A4B4CB" w14:textId="77777777">
        <w:tblPrEx>
          <w:tblCellMar>
            <w:top w:w="0" w:type="dxa"/>
            <w:bottom w:w="0" w:type="dxa"/>
          </w:tblCellMar>
        </w:tblPrEx>
        <w:trPr>
          <w:cantSplit/>
        </w:trPr>
        <w:tc>
          <w:tcPr>
            <w:tcW w:w="1973" w:type="dxa"/>
            <w:shd w:val="clear" w:color="auto" w:fill="E5E7EB"/>
            <w:tcMar>
              <w:top w:w="140" w:type="dxa"/>
              <w:left w:w="80" w:type="dxa"/>
              <w:bottom w:w="140" w:type="dxa"/>
              <w:right w:w="80" w:type="dxa"/>
            </w:tcMar>
            <w:vAlign w:val="center"/>
          </w:tcPr>
          <w:p w:rsidR="004421DC" w:rsidRDefault="00D479E8" w14:paraId="649841BE" w14:textId="77777777">
            <w:pPr>
              <w:spacing w:after="30"/>
              <w:jc w:val="center"/>
            </w:pPr>
            <w:r>
              <w:rPr>
                <w:b/>
                <w:bCs/>
                <w:sz w:val="24"/>
                <w:szCs w:val="24"/>
              </w:rPr>
              <w:t>1</w:t>
            </w:r>
          </w:p>
          <w:p w:rsidR="004421DC" w:rsidRDefault="00D479E8" w14:paraId="0F00CD7C" w14:textId="77777777">
            <w:pPr>
              <w:jc w:val="center"/>
            </w:pPr>
            <w:r>
              <w:rPr>
                <w:spacing w:val="3"/>
                <w:sz w:val="14"/>
                <w:szCs w:val="14"/>
              </w:rPr>
              <w:t>REACTIVE</w:t>
            </w:r>
          </w:p>
        </w:tc>
        <w:tc>
          <w:tcPr>
            <w:tcW w:w="1973" w:type="dxa"/>
            <w:shd w:val="clear" w:color="auto" w:fill="CEC9F3"/>
            <w:tcMar>
              <w:top w:w="140" w:type="dxa"/>
              <w:left w:w="80" w:type="dxa"/>
              <w:bottom w:w="140" w:type="dxa"/>
              <w:right w:w="80" w:type="dxa"/>
            </w:tcMar>
            <w:vAlign w:val="center"/>
          </w:tcPr>
          <w:p w:rsidR="004421DC" w:rsidRDefault="00D479E8" w14:paraId="18F999B5" w14:textId="77777777">
            <w:pPr>
              <w:spacing w:after="30"/>
              <w:jc w:val="center"/>
            </w:pPr>
            <w:r>
              <w:rPr>
                <w:b/>
                <w:bCs/>
                <w:sz w:val="24"/>
                <w:szCs w:val="24"/>
              </w:rPr>
              <w:t>2</w:t>
            </w:r>
          </w:p>
          <w:p w:rsidR="004421DC" w:rsidRDefault="00D479E8" w14:paraId="0C6C9C0B" w14:textId="77777777">
            <w:pPr>
              <w:jc w:val="center"/>
            </w:pPr>
            <w:r>
              <w:rPr>
                <w:spacing w:val="3"/>
                <w:sz w:val="14"/>
                <w:szCs w:val="14"/>
              </w:rPr>
              <w:t>MANAGED</w:t>
            </w:r>
          </w:p>
        </w:tc>
        <w:tc>
          <w:tcPr>
            <w:tcW w:w="1973" w:type="dxa"/>
            <w:shd w:val="clear" w:color="auto" w:fill="AFA2ED"/>
            <w:tcMar>
              <w:top w:w="140" w:type="dxa"/>
              <w:left w:w="80" w:type="dxa"/>
              <w:bottom w:w="140" w:type="dxa"/>
              <w:right w:w="80" w:type="dxa"/>
            </w:tcMar>
            <w:vAlign w:val="center"/>
          </w:tcPr>
          <w:p w:rsidR="004421DC" w:rsidRDefault="00D479E8" w14:paraId="5FCD5EC4" w14:textId="77777777">
            <w:pPr>
              <w:spacing w:after="30"/>
              <w:jc w:val="center"/>
            </w:pPr>
            <w:r>
              <w:rPr>
                <w:b/>
                <w:bCs/>
                <w:sz w:val="24"/>
                <w:szCs w:val="24"/>
              </w:rPr>
              <w:t>3</w:t>
            </w:r>
          </w:p>
          <w:p w:rsidR="004421DC" w:rsidRDefault="00D479E8" w14:paraId="111FBE25" w14:textId="77777777">
            <w:pPr>
              <w:jc w:val="center"/>
            </w:pPr>
            <w:r>
              <w:rPr>
                <w:spacing w:val="3"/>
                <w:sz w:val="14"/>
                <w:szCs w:val="14"/>
              </w:rPr>
              <w:t>OPTIMISED</w:t>
            </w:r>
          </w:p>
        </w:tc>
        <w:tc>
          <w:tcPr>
            <w:tcW w:w="1973" w:type="dxa"/>
            <w:shd w:val="clear" w:color="auto" w:fill="8754E9"/>
            <w:tcMar>
              <w:top w:w="140" w:type="dxa"/>
              <w:left w:w="80" w:type="dxa"/>
              <w:bottom w:w="140" w:type="dxa"/>
              <w:right w:w="80" w:type="dxa"/>
            </w:tcMar>
            <w:vAlign w:val="center"/>
          </w:tcPr>
          <w:p w:rsidR="004421DC" w:rsidRDefault="00D479E8" w14:paraId="2598DEE6" w14:textId="77777777">
            <w:pPr>
              <w:spacing w:after="30"/>
              <w:jc w:val="center"/>
            </w:pPr>
            <w:r>
              <w:rPr>
                <w:b/>
                <w:bCs/>
                <w:color w:val="FFFFFF"/>
                <w:sz w:val="24"/>
                <w:szCs w:val="24"/>
              </w:rPr>
              <w:t>4</w:t>
            </w:r>
          </w:p>
          <w:p w:rsidR="004421DC" w:rsidRDefault="00D479E8" w14:paraId="029E3725" w14:textId="77777777">
            <w:pPr>
              <w:jc w:val="center"/>
            </w:pPr>
            <w:r>
              <w:rPr>
                <w:color w:val="FFFFFF"/>
                <w:spacing w:val="3"/>
                <w:sz w:val="14"/>
                <w:szCs w:val="14"/>
              </w:rPr>
              <w:t>INTELLIGENT</w:t>
            </w:r>
          </w:p>
        </w:tc>
        <w:tc>
          <w:tcPr>
            <w:tcW w:w="1973" w:type="dxa"/>
            <w:shd w:val="clear" w:color="auto" w:fill="6B3FC7"/>
            <w:tcMar>
              <w:top w:w="140" w:type="dxa"/>
              <w:left w:w="80" w:type="dxa"/>
              <w:bottom w:w="140" w:type="dxa"/>
              <w:right w:w="80" w:type="dxa"/>
            </w:tcMar>
            <w:vAlign w:val="center"/>
          </w:tcPr>
          <w:p w:rsidR="004421DC" w:rsidRDefault="00D479E8" w14:paraId="78941E47" w14:textId="77777777">
            <w:pPr>
              <w:spacing w:after="30"/>
              <w:jc w:val="center"/>
            </w:pPr>
            <w:r>
              <w:rPr>
                <w:b/>
                <w:bCs/>
                <w:color w:val="FFFFFF"/>
                <w:sz w:val="24"/>
                <w:szCs w:val="24"/>
              </w:rPr>
              <w:t>5</w:t>
            </w:r>
          </w:p>
          <w:p w:rsidR="004421DC" w:rsidRDefault="00D479E8" w14:paraId="7BE343BC" w14:textId="77777777">
            <w:pPr>
              <w:jc w:val="center"/>
            </w:pPr>
            <w:r>
              <w:rPr>
                <w:color w:val="FFFFFF"/>
                <w:spacing w:val="3"/>
                <w:sz w:val="14"/>
                <w:szCs w:val="14"/>
              </w:rPr>
              <w:t>AUTONOMOUS</w:t>
            </w:r>
          </w:p>
        </w:tc>
      </w:tr>
    </w:tbl>
    <w:p w:rsidR="004421DC" w:rsidRDefault="004421DC" w14:paraId="5043CB0F" w14:textId="77777777">
      <w:pPr>
        <w:spacing w:after="180"/>
      </w:pPr>
    </w:p>
    <w:p w:rsidR="004421DC" w:rsidRDefault="00D479E8" w14:paraId="413D6003" w14:textId="77777777">
      <w:pPr>
        <w:spacing w:before="100" w:after="100"/>
      </w:pPr>
      <w:r>
        <w:rPr>
          <w:b/>
          <w:bCs/>
          <w:sz w:val="25"/>
          <w:szCs w:val="25"/>
        </w:rPr>
        <w:t>Which stage are you in?</w:t>
      </w:r>
    </w:p>
    <w:p w:rsidR="004421DC" w:rsidRDefault="00D479E8" w14:paraId="6D9DFA9E" w14:textId="77777777">
      <w:pPr>
        <w:spacing w:after="120" w:line="300" w:lineRule="auto"/>
      </w:pPr>
      <w:r>
        <w:t>A few quick questions usually place you within one stage.</w:t>
      </w:r>
    </w:p>
    <w:p w:rsidR="004421DC" w:rsidRDefault="00D479E8" w14:paraId="418BEF29" w14:textId="77777777">
      <w:pPr>
        <w:spacing w:after="90"/>
        <w:ind w:left="260"/>
      </w:pPr>
      <w:r>
        <w:rPr>
          <w:b/>
          <w:bCs/>
          <w:color w:val="8754E9"/>
        </w:rPr>
        <w:t xml:space="preserve">—  </w:t>
      </w:r>
      <w:r>
        <w:t>Is a spreadsheet still your team's real system of record? — Stage 1</w:t>
      </w:r>
    </w:p>
    <w:p w:rsidR="004421DC" w:rsidRDefault="00D479E8" w14:paraId="46A2D186" w14:textId="77777777">
      <w:pPr>
        <w:spacing w:after="90"/>
        <w:ind w:left="260"/>
      </w:pPr>
      <w:r>
        <w:rPr>
          <w:b/>
          <w:bCs/>
          <w:color w:val="8754E9"/>
        </w:rPr>
        <w:t xml:space="preserve">—  </w:t>
      </w:r>
      <w:r>
        <w:t>Do you have a platform, but adoption is patchy? — Stage 2</w:t>
      </w:r>
    </w:p>
    <w:p w:rsidR="004421DC" w:rsidRDefault="00D479E8" w14:paraId="61DE48E7" w14:textId="77777777">
      <w:pPr>
        <w:spacing w:after="90"/>
        <w:ind w:left="260"/>
      </w:pPr>
      <w:r>
        <w:rPr>
          <w:b/>
          <w:bCs/>
          <w:color w:val="8754E9"/>
        </w:rPr>
        <w:t xml:space="preserve">—  </w:t>
      </w:r>
      <w:r>
        <w:t>Are core workflows integrated and automated, with adoption above 80%? — Stage 3</w:t>
      </w:r>
    </w:p>
    <w:p w:rsidR="004421DC" w:rsidRDefault="00D479E8" w14:paraId="543265B4" w14:textId="77777777">
      <w:pPr>
        <w:spacing w:after="90"/>
        <w:ind w:left="260"/>
      </w:pPr>
      <w:r>
        <w:rPr>
          <w:b/>
          <w:bCs/>
          <w:color w:val="8754E9"/>
        </w:rPr>
        <w:t xml:space="preserve">—  </w:t>
      </w:r>
      <w:r>
        <w:t>Do your dashboards show what's about to happen, not just what already did? — Stage 4</w:t>
      </w:r>
    </w:p>
    <w:p w:rsidR="004421DC" w:rsidRDefault="00D479E8" w14:paraId="5E8FF3F7" w14:textId="77777777">
      <w:pPr>
        <w:spacing w:after="90"/>
        <w:ind w:left="260"/>
      </w:pPr>
      <w:r>
        <w:rPr>
          <w:b/>
          <w:bCs/>
          <w:color w:val="8754E9"/>
        </w:rPr>
        <w:t xml:space="preserve">—  </w:t>
      </w:r>
      <w:r>
        <w:t>Do decisions and workflows largely run themselves, with people mainly handling exceptions? — Stage 5</w:t>
      </w:r>
    </w:p>
    <w:p w:rsidR="004421DC" w:rsidRDefault="004421DC" w14:paraId="07459315" w14:textId="77777777">
      <w:pPr>
        <w:spacing w:after="140"/>
      </w:pPr>
    </w:p>
    <w:p w:rsidR="004421DC" w:rsidRDefault="00D479E8" w14:paraId="3F4C0C0E" w14:textId="77777777">
      <w:pPr>
        <w:spacing w:before="100" w:after="100"/>
      </w:pPr>
      <w:r>
        <w:rPr>
          <w:b/>
          <w:bCs/>
          <w:sz w:val="25"/>
          <w:szCs w:val="25"/>
        </w:rPr>
        <w:t>Timeline to the next stage</w:t>
      </w:r>
    </w:p>
    <w:p w:rsidR="004421DC" w:rsidRDefault="00D479E8" w14:paraId="753FF953" w14:textId="77777777">
      <w:pPr>
        <w:spacing w:after="160" w:line="300" w:lineRule="auto"/>
      </w:pPr>
      <w:r>
        <w:t>Stage 1 to Stage 2 typically takes three to six months. Stage 2 to Stage 3, usually the highest-value jump, takes four to eight months. Most mid-sized organisations sit at Stage 1 or 2, and most can reach Stage 3 within six to eight months of a properly scoped engagement.</w:t>
      </w:r>
    </w:p>
    <w:p w:rsidR="004421DC" w:rsidRDefault="004421DC" w14:paraId="6537F28F" w14:textId="77777777">
      <w:pPr>
        <w:spacing w:after="140"/>
      </w:pPr>
    </w:p>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835"/>
      </w:tblGrid>
      <w:tr w:rsidR="004421DC" w:rsidTr="7068594A" w14:paraId="1D8A620E" w14:textId="77777777">
        <w:tblPrEx>
          <w:tblCellMar>
            <w:top w:w="0" w:type="dxa"/>
            <w:bottom w:w="0" w:type="dxa"/>
          </w:tblCellMar>
        </w:tblPrEx>
        <w:trPr>
          <w:cantSplit/>
        </w:trPr>
        <w:tc>
          <w:tcPr>
            <w:tcW w:w="5000" w:type="pct"/>
            <w:tcBorders>
              <w:top w:val="none" w:color="FFFFFF" w:themeColor="background1" w:sz="0" w:space="0"/>
              <w:left w:val="single" w:color="8754E9" w:sz="24" w:space="0"/>
              <w:bottom w:val="none" w:color="FFFFFF" w:themeColor="background1" w:sz="0" w:space="0"/>
              <w:right w:val="none" w:color="FFFFFF" w:themeColor="background1" w:sz="0" w:space="0"/>
            </w:tcBorders>
            <w:shd w:val="clear" w:color="auto" w:fill="F7F5FC"/>
            <w:tcMar>
              <w:top w:w="200" w:type="dxa"/>
              <w:left w:w="260" w:type="dxa"/>
              <w:bottom w:w="200" w:type="dxa"/>
              <w:right w:w="260" w:type="dxa"/>
            </w:tcMar>
          </w:tcPr>
          <w:p w:rsidR="004421DC" w:rsidRDefault="00D479E8" w14:paraId="0F2F5FBD" w14:textId="77777777">
            <w:pPr>
              <w:spacing w:after="80"/>
            </w:pPr>
            <w:r>
              <w:rPr>
                <w:b/>
                <w:bCs/>
                <w:color w:val="6B7280"/>
                <w:spacing w:val="12"/>
                <w:sz w:val="16"/>
                <w:szCs w:val="16"/>
              </w:rPr>
              <w:t>CODM'S PERSPECTIVE</w:t>
            </w:r>
          </w:p>
          <w:p w:rsidR="004421DC" w:rsidRDefault="00D479E8" w14:paraId="79793D3D" w14:textId="77777777">
            <w:pPr>
              <w:spacing w:line="300" w:lineRule="auto"/>
            </w:pPr>
            <w:r>
              <w:t>Where you sit changes how we'd approach the work. At Stage 1 to 2 we focus on quick wins and standardising the foundations. At Stage 2 to 3 the priority shifts to automation and adoption. Beyond that, the conversation moves to intelligence and continuous optimisation. Most engagements pay for themselves before the next stage is even reached.</w:t>
            </w:r>
          </w:p>
        </w:tc>
      </w:tr>
    </w:tbl>
    <w:p w:rsidR="7068594A" w:rsidP="7068594A" w:rsidRDefault="7068594A" w14:paraId="61B995BE" w14:textId="4B5AF91F">
      <w:pPr>
        <w:pStyle w:val="Normal"/>
        <w:rPr>
          <w:b w:val="1"/>
          <w:bCs w:val="1"/>
          <w:color w:val="8754E9"/>
          <w:sz w:val="16"/>
          <w:szCs w:val="16"/>
        </w:rPr>
      </w:pPr>
    </w:p>
    <w:p w:rsidR="7068594A" w:rsidP="7068594A" w:rsidRDefault="7068594A" w14:paraId="75A4EB6D" w14:textId="13CA8949">
      <w:pPr>
        <w:pStyle w:val="Normal"/>
        <w:rPr>
          <w:b w:val="1"/>
          <w:bCs w:val="1"/>
          <w:color w:val="8754E9"/>
          <w:sz w:val="16"/>
          <w:szCs w:val="16"/>
        </w:rPr>
      </w:pPr>
    </w:p>
    <w:p w:rsidR="004421DC" w:rsidP="7068594A" w:rsidRDefault="00D479E8" w14:paraId="4EA0450F" w14:textId="1BEBBB81">
      <w:pPr>
        <w:pStyle w:val="Normal"/>
        <w:spacing w:after="100"/>
      </w:pPr>
      <w:r w:rsidRPr="7068594A" w:rsidR="00D479E8">
        <w:rPr>
          <w:b w:val="1"/>
          <w:bCs w:val="1"/>
          <w:color w:val="8754E9"/>
          <w:sz w:val="16"/>
          <w:szCs w:val="16"/>
        </w:rPr>
        <w:t>DIAGNOSIS</w:t>
      </w:r>
    </w:p>
    <w:p w:rsidR="004421DC" w:rsidRDefault="00D479E8" w14:paraId="6A4D32BF" w14:textId="77777777">
      <w:pPr>
        <w:spacing w:after="60"/>
      </w:pPr>
      <w:r>
        <w:rPr>
          <w:b/>
          <w:bCs/>
          <w:sz w:val="36"/>
          <w:szCs w:val="36"/>
        </w:rPr>
        <w:t>What this is actually costing you</w:t>
      </w:r>
    </w:p>
    <w:tbl>
      <w:tblPr>
        <w:tblW w:w="90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0"/>
      </w:tblGrid>
      <w:tr w:rsidR="004421DC" w14:paraId="70DF9E56" w14:textId="77777777">
        <w:tblPrEx>
          <w:tblCellMar>
            <w:top w:w="0" w:type="dxa"/>
            <w:bottom w:w="0" w:type="dxa"/>
          </w:tblCellMar>
        </w:tblPrEx>
        <w:trPr>
          <w:trHeight w:val="50" w:hRule="exact"/>
        </w:trPr>
        <w:tc>
          <w:tcPr>
            <w:tcW w:w="900" w:type="dxa"/>
            <w:tcBorders>
              <w:top w:val="none" w:color="FFFFFF" w:sz="0" w:space="0"/>
              <w:left w:val="none" w:color="FFFFFF" w:sz="0" w:space="0"/>
              <w:bottom w:val="none" w:color="FFFFFF" w:sz="0" w:space="0"/>
              <w:right w:val="none" w:color="FFFFFF" w:sz="0" w:space="0"/>
            </w:tcBorders>
            <w:shd w:val="clear" w:color="auto" w:fill="8754E9"/>
          </w:tcPr>
          <w:p w:rsidR="004421DC" w:rsidRDefault="004421DC" w14:paraId="44E871BC" w14:textId="77777777"/>
        </w:tc>
      </w:tr>
    </w:tbl>
    <w:p w:rsidR="004421DC" w:rsidRDefault="004421DC" w14:paraId="144A5D23" w14:textId="77777777">
      <w:pPr>
        <w:spacing w:after="140"/>
      </w:pPr>
    </w:p>
    <w:p w:rsidR="004421DC" w:rsidRDefault="00D479E8" w14:paraId="377548DE" w14:textId="77777777">
      <w:pPr>
        <w:spacing w:after="160" w:line="300" w:lineRule="auto"/>
      </w:pPr>
      <w:r>
        <w:t>Ask a leadership team what their inefficiency costs them each year and most can't answer, not because the number is small, but because nobody's ever sat down and worked it out. It's spread across departments, folded into headcount, hidden inside 'that's just how long it takes.'</w:t>
      </w:r>
    </w:p>
    <w:p w:rsidR="004421DC" w:rsidRDefault="00D479E8" w14:paraId="114BC15A" w14:textId="77777777">
      <w:pPr>
        <w:spacing w:after="160" w:line="300" w:lineRule="auto"/>
      </w:pPr>
      <w:r>
        <w:t>It's worth doing the exercise anyway. We usually walk through four areas with a client before writing a single line of a proposal.</w:t>
      </w:r>
    </w:p>
    <w:p w:rsidR="004421DC" w:rsidRDefault="00D479E8" w14:paraId="4A146726" w14:textId="77777777">
      <w:pPr>
        <w:spacing w:before="100" w:after="100"/>
      </w:pPr>
      <w:r>
        <w:rPr>
          <w:b/>
          <w:bCs/>
          <w:sz w:val="25"/>
          <w:szCs w:val="25"/>
        </w:rPr>
        <w:t>Time</w:t>
      </w:r>
    </w:p>
    <w:p w:rsidR="004421DC" w:rsidRDefault="00D479E8" w14:paraId="2874EA1C" w14:textId="77777777">
      <w:pPr>
        <w:spacing w:after="160" w:line="300" w:lineRule="auto"/>
      </w:pPr>
      <w:r>
        <w:t>Ten people spending five hours a week on data entry and chasing information is fifty hours a week gone before anyone's done anything productive. At a loaded cost of around £26 an hour, that's close to £65,000 a year for one team.</w:t>
      </w:r>
    </w:p>
    <w:p w:rsidR="004421DC" w:rsidRDefault="00D479E8" w14:paraId="5EF23B4C" w14:textId="77777777">
      <w:pPr>
        <w:spacing w:before="100" w:after="100"/>
      </w:pPr>
      <w:r>
        <w:rPr>
          <w:b/>
          <w:bCs/>
          <w:sz w:val="25"/>
          <w:szCs w:val="25"/>
        </w:rPr>
        <w:t>Errors</w:t>
      </w:r>
    </w:p>
    <w:p w:rsidR="004421DC" w:rsidRDefault="00D479E8" w14:paraId="6DBD411C" w14:textId="77777777">
      <w:pPr>
        <w:spacing w:after="160" w:line="300" w:lineRule="auto"/>
      </w:pPr>
      <w:r>
        <w:t>Manual processes carry error rates most organisations underestimate. Five percent isn't unusual. A team processing a thousand transactions a month, with five percent needing correction at roughly £40 each, is quietly spending £24,000 a year fixing avoidable mistakes.</w:t>
      </w:r>
    </w:p>
    <w:p w:rsidR="004421DC" w:rsidRDefault="00D479E8" w14:paraId="276119BE" w14:textId="77777777">
      <w:pPr>
        <w:spacing w:before="100" w:after="100"/>
      </w:pPr>
      <w:r>
        <w:rPr>
          <w:b/>
          <w:bCs/>
          <w:sz w:val="25"/>
          <w:szCs w:val="25"/>
        </w:rPr>
        <w:t>Slow decisions</w:t>
      </w:r>
    </w:p>
    <w:p w:rsidR="004421DC" w:rsidRDefault="00D479E8" w14:paraId="6030F76D" w14:textId="77777777">
      <w:pPr>
        <w:spacing w:after="160" w:line="300" w:lineRule="auto"/>
      </w:pPr>
      <w:r>
        <w:t>A two-day delay on a resourcing decision, four times a month, at even a modest £2,000 impact each time, adds up to close to £100,000 a year. Not because anyone made a bad call, but because nobody had the information in time to make it.</w:t>
      </w:r>
    </w:p>
    <w:p w:rsidR="004421DC" w:rsidRDefault="00D479E8" w14:paraId="5D0A9571" w14:textId="77777777">
      <w:pPr>
        <w:spacing w:before="100" w:after="100"/>
      </w:pPr>
      <w:r>
        <w:rPr>
          <w:b/>
          <w:bCs/>
          <w:sz w:val="25"/>
          <w:szCs w:val="25"/>
        </w:rPr>
        <w:t>The knock-on effect on customers</w:t>
      </w:r>
    </w:p>
    <w:p w:rsidR="004421DC" w:rsidRDefault="00D479E8" w14:paraId="44235FE5" w14:textId="77777777">
      <w:pPr>
        <w:spacing w:after="160" w:line="300" w:lineRule="auto"/>
      </w:pPr>
      <w:r>
        <w:t>Harder to put a precise number on, but real. A slower response, an inconsistent handoff, a customer who explains their situation twice. It shows up later, in renewal conversations and in the accounts that quietly stop calling.</w:t>
      </w:r>
    </w:p>
    <w:p w:rsidR="004421DC" w:rsidRDefault="004421DC" w14:paraId="738610EB" w14:textId="77777777">
      <w:pPr>
        <w:spacing w:after="80"/>
      </w:pPr>
    </w:p>
    <w:p w:rsidR="004421DC" w:rsidRDefault="00D479E8" w14:paraId="5744C457" w14:textId="77777777">
      <w:pPr>
        <w:spacing w:after="160" w:line="300" w:lineRule="auto"/>
      </w:pPr>
      <w:r>
        <w:t>Add the first three together for a mid-sized organisation and you're often already past £180,000 a year, before customer impact is even counted. Once it is, £250,000 to £450,000 is a fairly typical range. The exact figure matters less than the exercise itself.</w:t>
      </w:r>
    </w:p>
    <w:p w:rsidR="004421DC" w:rsidRDefault="004421DC" w14:paraId="637805D2" w14:textId="77777777">
      <w:pPr>
        <w:spacing w:after="140"/>
      </w:pPr>
    </w:p>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835"/>
      </w:tblGrid>
      <w:tr w:rsidR="004421DC" w:rsidTr="7068594A" w14:paraId="7D674A6B" w14:textId="77777777">
        <w:tblPrEx>
          <w:tblCellMar>
            <w:top w:w="0" w:type="dxa"/>
            <w:bottom w:w="0" w:type="dxa"/>
          </w:tblCellMar>
        </w:tblPrEx>
        <w:trPr>
          <w:cantSplit/>
        </w:trPr>
        <w:tc>
          <w:tcPr>
            <w:tcW w:w="5000" w:type="pct"/>
            <w:tcBorders>
              <w:top w:val="none" w:color="FFFFFF" w:themeColor="background1" w:sz="0" w:space="0"/>
              <w:left w:val="single" w:color="8754E9" w:sz="24" w:space="0"/>
              <w:bottom w:val="none" w:color="FFFFFF" w:themeColor="background1" w:sz="0" w:space="0"/>
              <w:right w:val="none" w:color="FFFFFF" w:themeColor="background1" w:sz="0" w:space="0"/>
            </w:tcBorders>
            <w:shd w:val="clear" w:color="auto" w:fill="F7F5FC"/>
            <w:tcMar>
              <w:top w:w="200" w:type="dxa"/>
              <w:left w:w="260" w:type="dxa"/>
              <w:bottom w:w="200" w:type="dxa"/>
              <w:right w:w="260" w:type="dxa"/>
            </w:tcMar>
          </w:tcPr>
          <w:p w:rsidR="004421DC" w:rsidRDefault="00D479E8" w14:paraId="4E460474" w14:textId="77777777">
            <w:pPr>
              <w:spacing w:after="80"/>
            </w:pPr>
            <w:r>
              <w:rPr>
                <w:b/>
                <w:bCs/>
                <w:color w:val="6B7280"/>
                <w:spacing w:val="12"/>
                <w:sz w:val="16"/>
                <w:szCs w:val="16"/>
              </w:rPr>
              <w:t>CODM'S PERSPECTIVE</w:t>
            </w:r>
          </w:p>
          <w:p w:rsidR="004421DC" w:rsidRDefault="00D479E8" w14:paraId="7AA91E46" w14:textId="77777777">
            <w:pPr>
              <w:spacing w:line="300" w:lineRule="auto"/>
            </w:pPr>
            <w:r>
              <w:t>We usually do a version of this properly in the first week of working with a client, a handful of short conversations, not a formal audit. The number is almost always higher than expected, and that's usually the point where a vague sense that things could run better becomes an actual business case.</w:t>
            </w:r>
          </w:p>
        </w:tc>
      </w:tr>
    </w:tbl>
    <w:p w:rsidR="7068594A" w:rsidP="7068594A" w:rsidRDefault="7068594A" w14:paraId="5CC0580D" w14:textId="25A924A2">
      <w:pPr>
        <w:pStyle w:val="Normal"/>
        <w:rPr>
          <w:b w:val="1"/>
          <w:bCs w:val="1"/>
          <w:color w:val="8754E9"/>
          <w:sz w:val="16"/>
          <w:szCs w:val="16"/>
        </w:rPr>
      </w:pPr>
    </w:p>
    <w:p w:rsidR="7068594A" w:rsidP="7068594A" w:rsidRDefault="7068594A" w14:paraId="47B82196" w14:textId="73982B19">
      <w:pPr>
        <w:pStyle w:val="Normal"/>
        <w:rPr>
          <w:b w:val="1"/>
          <w:bCs w:val="1"/>
          <w:color w:val="8754E9"/>
          <w:sz w:val="16"/>
          <w:szCs w:val="16"/>
        </w:rPr>
      </w:pPr>
    </w:p>
    <w:p w:rsidR="7068594A" w:rsidP="7068594A" w:rsidRDefault="7068594A" w14:paraId="299C7701" w14:textId="3B45C064">
      <w:pPr>
        <w:pStyle w:val="Normal"/>
        <w:rPr>
          <w:b w:val="1"/>
          <w:bCs w:val="1"/>
          <w:color w:val="8754E9"/>
          <w:sz w:val="16"/>
          <w:szCs w:val="16"/>
        </w:rPr>
      </w:pPr>
    </w:p>
    <w:p w:rsidR="7068594A" w:rsidP="7068594A" w:rsidRDefault="7068594A" w14:paraId="4D2AC4B0" w14:textId="6FC77E3F">
      <w:pPr>
        <w:pStyle w:val="Normal"/>
        <w:rPr>
          <w:b w:val="1"/>
          <w:bCs w:val="1"/>
          <w:color w:val="8754E9"/>
          <w:sz w:val="16"/>
          <w:szCs w:val="16"/>
        </w:rPr>
      </w:pPr>
    </w:p>
    <w:p w:rsidR="004421DC" w:rsidP="7068594A" w:rsidRDefault="00D479E8" w14:paraId="6B63839D" w14:textId="573F56D8">
      <w:pPr>
        <w:pStyle w:val="Normal"/>
        <w:spacing w:after="100"/>
      </w:pPr>
      <w:r w:rsidRPr="7068594A" w:rsidR="00D479E8">
        <w:rPr>
          <w:b w:val="1"/>
          <w:bCs w:val="1"/>
          <w:color w:val="8754E9"/>
          <w:sz w:val="16"/>
          <w:szCs w:val="16"/>
        </w:rPr>
        <w:t>BUSINESS CASE</w:t>
      </w:r>
    </w:p>
    <w:p w:rsidR="004421DC" w:rsidRDefault="00D479E8" w14:paraId="50C82E79" w14:textId="77777777">
      <w:pPr>
        <w:spacing w:after="60"/>
      </w:pPr>
      <w:r>
        <w:rPr>
          <w:b/>
          <w:bCs/>
          <w:sz w:val="36"/>
          <w:szCs w:val="36"/>
        </w:rPr>
        <w:t>What realistic return looks like</w:t>
      </w:r>
    </w:p>
    <w:tbl>
      <w:tblPr>
        <w:tblW w:w="90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0"/>
      </w:tblGrid>
      <w:tr w:rsidR="004421DC" w14:paraId="3B7B4B86" w14:textId="77777777">
        <w:tblPrEx>
          <w:tblCellMar>
            <w:top w:w="0" w:type="dxa"/>
            <w:bottom w:w="0" w:type="dxa"/>
          </w:tblCellMar>
        </w:tblPrEx>
        <w:trPr>
          <w:trHeight w:val="50" w:hRule="exact"/>
        </w:trPr>
        <w:tc>
          <w:tcPr>
            <w:tcW w:w="900" w:type="dxa"/>
            <w:tcBorders>
              <w:top w:val="none" w:color="FFFFFF" w:sz="0" w:space="0"/>
              <w:left w:val="none" w:color="FFFFFF" w:sz="0" w:space="0"/>
              <w:bottom w:val="none" w:color="FFFFFF" w:sz="0" w:space="0"/>
              <w:right w:val="none" w:color="FFFFFF" w:sz="0" w:space="0"/>
            </w:tcBorders>
            <w:shd w:val="clear" w:color="auto" w:fill="8754E9"/>
          </w:tcPr>
          <w:p w:rsidR="004421DC" w:rsidRDefault="004421DC" w14:paraId="3A0FF5F2" w14:textId="77777777"/>
        </w:tc>
      </w:tr>
    </w:tbl>
    <w:p w:rsidR="004421DC" w:rsidRDefault="004421DC" w14:paraId="5630AD66" w14:textId="77777777">
      <w:pPr>
        <w:spacing w:after="140"/>
      </w:pPr>
    </w:p>
    <w:p w:rsidR="004421DC" w:rsidRDefault="00D479E8" w14:paraId="67A8D497" w14:textId="77777777">
      <w:pPr>
        <w:spacing w:after="160" w:line="300" w:lineRule="auto"/>
      </w:pPr>
      <w:r>
        <w:t>Every vendor has a slide that makes the return look better than it will actually be. It varies by size of organisation, mostly because certain costs, process design, data migration, change management, don't shrink in proportion to headcount.</w:t>
      </w:r>
    </w:p>
    <w:p w:rsidR="004421DC" w:rsidRDefault="00D479E8" w14:paraId="15DA41A3" w14:textId="77777777">
      <w:pPr>
        <w:spacing w:after="160" w:line="300" w:lineRule="auto"/>
      </w:pPr>
      <w:r>
        <w:t>Roughly, here's what we see across the three sizes of organisation we work with most.</w:t>
      </w:r>
    </w:p>
    <w:tbl>
      <w:tblPr>
        <w:tblW w:w="9865" w:type="dxa"/>
        <w:tblInd w:w="-3" w:type="dxa"/>
        <w:tblBorders>
          <w:top w:val="single" w:color="E5E7EB" w:sz="4" w:space="0"/>
          <w:left w:val="single" w:color="E5E7EB" w:sz="4" w:space="0"/>
          <w:bottom w:val="single" w:color="E5E7EB" w:sz="4" w:space="0"/>
          <w:right w:val="single" w:color="E5E7EB" w:sz="4" w:space="0"/>
          <w:insideH w:val="single" w:color="E5E7EB" w:sz="4" w:space="0"/>
          <w:insideV w:val="single" w:color="E5E7EB" w:sz="4" w:space="0"/>
        </w:tblBorders>
        <w:tblCellMar>
          <w:left w:w="10" w:type="dxa"/>
          <w:right w:w="10" w:type="dxa"/>
        </w:tblCellMar>
        <w:tblLook w:val="04A0" w:firstRow="1" w:lastRow="0" w:firstColumn="1" w:lastColumn="0" w:noHBand="0" w:noVBand="1"/>
      </w:tblPr>
      <w:tblGrid>
        <w:gridCol w:w="2800"/>
        <w:gridCol w:w="2400"/>
        <w:gridCol w:w="2365"/>
        <w:gridCol w:w="2300"/>
      </w:tblGrid>
      <w:tr w:rsidR="004421DC" w14:paraId="1721D4C1" w14:textId="77777777">
        <w:tblPrEx>
          <w:tblCellMar>
            <w:top w:w="0" w:type="dxa"/>
            <w:bottom w:w="0" w:type="dxa"/>
          </w:tblCellMar>
        </w:tblPrEx>
        <w:trPr>
          <w:cantSplit/>
          <w:tblHeader/>
        </w:trPr>
        <w:tc>
          <w:tcPr>
            <w:tcW w:w="2800" w:type="dxa"/>
            <w:shd w:val="clear" w:color="auto" w:fill="8754E9"/>
            <w:tcMar>
              <w:top w:w="130" w:type="dxa"/>
              <w:left w:w="150" w:type="dxa"/>
              <w:bottom w:w="130" w:type="dxa"/>
              <w:right w:w="150" w:type="dxa"/>
            </w:tcMar>
            <w:vAlign w:val="center"/>
          </w:tcPr>
          <w:p w:rsidR="004421DC" w:rsidRDefault="00D479E8" w14:paraId="1AB17C95" w14:textId="77777777">
            <w:r>
              <w:rPr>
                <w:b/>
                <w:bCs/>
                <w:color w:val="FFFFFF"/>
                <w:spacing w:val="5"/>
                <w:sz w:val="17"/>
                <w:szCs w:val="17"/>
              </w:rPr>
              <w:t>ORGANISATION SIZE</w:t>
            </w:r>
          </w:p>
        </w:tc>
        <w:tc>
          <w:tcPr>
            <w:tcW w:w="2400" w:type="dxa"/>
            <w:shd w:val="clear" w:color="auto" w:fill="8754E9"/>
            <w:tcMar>
              <w:top w:w="130" w:type="dxa"/>
              <w:left w:w="150" w:type="dxa"/>
              <w:bottom w:w="130" w:type="dxa"/>
              <w:right w:w="150" w:type="dxa"/>
            </w:tcMar>
            <w:vAlign w:val="center"/>
          </w:tcPr>
          <w:p w:rsidR="004421DC" w:rsidRDefault="00D479E8" w14:paraId="3E9AF64C" w14:textId="77777777">
            <w:r>
              <w:rPr>
                <w:b/>
                <w:bCs/>
                <w:color w:val="FFFFFF"/>
                <w:spacing w:val="5"/>
                <w:sz w:val="17"/>
                <w:szCs w:val="17"/>
              </w:rPr>
              <w:t>TYPICAL INVESTMENT</w:t>
            </w:r>
          </w:p>
        </w:tc>
        <w:tc>
          <w:tcPr>
            <w:tcW w:w="2365" w:type="dxa"/>
            <w:shd w:val="clear" w:color="auto" w:fill="8754E9"/>
            <w:tcMar>
              <w:top w:w="130" w:type="dxa"/>
              <w:left w:w="150" w:type="dxa"/>
              <w:bottom w:w="130" w:type="dxa"/>
              <w:right w:w="150" w:type="dxa"/>
            </w:tcMar>
            <w:vAlign w:val="center"/>
          </w:tcPr>
          <w:p w:rsidR="004421DC" w:rsidRDefault="00D479E8" w14:paraId="0E154EBF" w14:textId="77777777">
            <w:r>
              <w:rPr>
                <w:b/>
                <w:bCs/>
                <w:color w:val="FFFFFF"/>
                <w:spacing w:val="5"/>
                <w:sz w:val="17"/>
                <w:szCs w:val="17"/>
              </w:rPr>
              <w:t>YEAR 1 RETURN</w:t>
            </w:r>
          </w:p>
        </w:tc>
        <w:tc>
          <w:tcPr>
            <w:tcW w:w="2300" w:type="dxa"/>
            <w:shd w:val="clear" w:color="auto" w:fill="8754E9"/>
            <w:tcMar>
              <w:top w:w="130" w:type="dxa"/>
              <w:left w:w="150" w:type="dxa"/>
              <w:bottom w:w="130" w:type="dxa"/>
              <w:right w:w="150" w:type="dxa"/>
            </w:tcMar>
            <w:vAlign w:val="center"/>
          </w:tcPr>
          <w:p w:rsidR="004421DC" w:rsidRDefault="00D479E8" w14:paraId="155DD284" w14:textId="77777777">
            <w:r>
              <w:rPr>
                <w:b/>
                <w:bCs/>
                <w:color w:val="FFFFFF"/>
                <w:spacing w:val="5"/>
                <w:sz w:val="17"/>
                <w:szCs w:val="17"/>
              </w:rPr>
              <w:t>PAYBACK</w:t>
            </w:r>
          </w:p>
        </w:tc>
      </w:tr>
      <w:tr w:rsidR="004421DC" w14:paraId="5FBD6997" w14:textId="77777777">
        <w:tblPrEx>
          <w:tblCellMar>
            <w:top w:w="0" w:type="dxa"/>
            <w:bottom w:w="0" w:type="dxa"/>
          </w:tblCellMar>
        </w:tblPrEx>
        <w:trPr>
          <w:cantSplit/>
        </w:trPr>
        <w:tc>
          <w:tcPr>
            <w:tcW w:w="2800" w:type="dxa"/>
            <w:tcMar>
              <w:top w:w="140" w:type="dxa"/>
              <w:left w:w="150" w:type="dxa"/>
              <w:bottom w:w="140" w:type="dxa"/>
              <w:right w:w="150" w:type="dxa"/>
            </w:tcMar>
            <w:vAlign w:val="center"/>
          </w:tcPr>
          <w:p w:rsidR="004421DC" w:rsidRDefault="00D479E8" w14:paraId="52F5BF09" w14:textId="77777777">
            <w:pPr>
              <w:spacing w:after="30"/>
            </w:pPr>
            <w:r>
              <w:rPr>
                <w:b/>
                <w:bCs/>
                <w:color w:val="8754E9"/>
                <w:sz w:val="20"/>
                <w:szCs w:val="20"/>
              </w:rPr>
              <w:t>Small</w:t>
            </w:r>
          </w:p>
          <w:p w:rsidR="004421DC" w:rsidRDefault="00D479E8" w14:paraId="2EED035D" w14:textId="77777777">
            <w:r>
              <w:rPr>
                <w:color w:val="9CA3AF"/>
                <w:sz w:val="16"/>
                <w:szCs w:val="16"/>
              </w:rPr>
              <w:t>£1m–£10m revenue, 20–50 people</w:t>
            </w:r>
          </w:p>
        </w:tc>
        <w:tc>
          <w:tcPr>
            <w:tcW w:w="2400" w:type="dxa"/>
            <w:tcMar>
              <w:top w:w="140" w:type="dxa"/>
              <w:left w:w="150" w:type="dxa"/>
              <w:bottom w:w="140" w:type="dxa"/>
              <w:right w:w="150" w:type="dxa"/>
            </w:tcMar>
            <w:vAlign w:val="center"/>
          </w:tcPr>
          <w:p w:rsidR="004421DC" w:rsidRDefault="00D479E8" w14:paraId="2BD6AB9F" w14:textId="77777777">
            <w:pPr>
              <w:spacing w:line="260" w:lineRule="auto"/>
            </w:pPr>
            <w:r>
              <w:rPr>
                <w:color w:val="6B7280"/>
                <w:sz w:val="20"/>
                <w:szCs w:val="20"/>
              </w:rPr>
              <w:t>£15,000–£40,000</w:t>
            </w:r>
          </w:p>
        </w:tc>
        <w:tc>
          <w:tcPr>
            <w:tcW w:w="2365" w:type="dxa"/>
            <w:tcMar>
              <w:top w:w="140" w:type="dxa"/>
              <w:left w:w="150" w:type="dxa"/>
              <w:bottom w:w="140" w:type="dxa"/>
              <w:right w:w="150" w:type="dxa"/>
            </w:tcMar>
            <w:vAlign w:val="center"/>
          </w:tcPr>
          <w:p w:rsidR="004421DC" w:rsidRDefault="00D479E8" w14:paraId="0F95EE0E" w14:textId="77777777">
            <w:pPr>
              <w:spacing w:line="260" w:lineRule="auto"/>
            </w:pPr>
            <w:r>
              <w:rPr>
                <w:b/>
                <w:bCs/>
                <w:color w:val="8754E9"/>
                <w:sz w:val="20"/>
                <w:szCs w:val="20"/>
              </w:rPr>
              <w:t>150–250%</w:t>
            </w:r>
          </w:p>
        </w:tc>
        <w:tc>
          <w:tcPr>
            <w:tcW w:w="2300" w:type="dxa"/>
            <w:tcMar>
              <w:top w:w="140" w:type="dxa"/>
              <w:left w:w="150" w:type="dxa"/>
              <w:bottom w:w="140" w:type="dxa"/>
              <w:right w:w="150" w:type="dxa"/>
            </w:tcMar>
            <w:vAlign w:val="center"/>
          </w:tcPr>
          <w:p w:rsidR="004421DC" w:rsidRDefault="00D479E8" w14:paraId="7BB39E1A" w14:textId="77777777">
            <w:pPr>
              <w:spacing w:line="260" w:lineRule="auto"/>
            </w:pPr>
            <w:r>
              <w:rPr>
                <w:color w:val="6B7280"/>
                <w:sz w:val="20"/>
                <w:szCs w:val="20"/>
              </w:rPr>
              <w:t>3–4 months</w:t>
            </w:r>
          </w:p>
        </w:tc>
      </w:tr>
      <w:tr w:rsidR="004421DC" w14:paraId="0536F42F" w14:textId="77777777">
        <w:tblPrEx>
          <w:tblCellMar>
            <w:top w:w="0" w:type="dxa"/>
            <w:bottom w:w="0" w:type="dxa"/>
          </w:tblCellMar>
        </w:tblPrEx>
        <w:trPr>
          <w:cantSplit/>
        </w:trPr>
        <w:tc>
          <w:tcPr>
            <w:tcW w:w="2800" w:type="dxa"/>
            <w:tcMar>
              <w:top w:w="140" w:type="dxa"/>
              <w:left w:w="150" w:type="dxa"/>
              <w:bottom w:w="140" w:type="dxa"/>
              <w:right w:w="150" w:type="dxa"/>
            </w:tcMar>
            <w:vAlign w:val="center"/>
          </w:tcPr>
          <w:p w:rsidR="004421DC" w:rsidRDefault="00D479E8" w14:paraId="3A032B30" w14:textId="77777777">
            <w:pPr>
              <w:spacing w:after="30"/>
            </w:pPr>
            <w:r>
              <w:rPr>
                <w:b/>
                <w:bCs/>
                <w:color w:val="8754E9"/>
                <w:sz w:val="20"/>
                <w:szCs w:val="20"/>
              </w:rPr>
              <w:t>Mid-market</w:t>
            </w:r>
          </w:p>
          <w:p w:rsidR="004421DC" w:rsidRDefault="00D479E8" w14:paraId="2EBB636B" w14:textId="77777777">
            <w:r>
              <w:rPr>
                <w:color w:val="9CA3AF"/>
                <w:sz w:val="16"/>
                <w:szCs w:val="16"/>
              </w:rPr>
              <w:t>£10m–£100m revenue, 50–150 people</w:t>
            </w:r>
          </w:p>
        </w:tc>
        <w:tc>
          <w:tcPr>
            <w:tcW w:w="2400" w:type="dxa"/>
            <w:tcMar>
              <w:top w:w="140" w:type="dxa"/>
              <w:left w:w="150" w:type="dxa"/>
              <w:bottom w:w="140" w:type="dxa"/>
              <w:right w:w="150" w:type="dxa"/>
            </w:tcMar>
            <w:vAlign w:val="center"/>
          </w:tcPr>
          <w:p w:rsidR="004421DC" w:rsidRDefault="00D479E8" w14:paraId="23DD0C1F" w14:textId="77777777">
            <w:pPr>
              <w:spacing w:line="260" w:lineRule="auto"/>
            </w:pPr>
            <w:r>
              <w:rPr>
                <w:color w:val="6B7280"/>
                <w:sz w:val="20"/>
                <w:szCs w:val="20"/>
              </w:rPr>
              <w:t>£40,000–£100,000</w:t>
            </w:r>
          </w:p>
        </w:tc>
        <w:tc>
          <w:tcPr>
            <w:tcW w:w="2365" w:type="dxa"/>
            <w:tcMar>
              <w:top w:w="140" w:type="dxa"/>
              <w:left w:w="150" w:type="dxa"/>
              <w:bottom w:w="140" w:type="dxa"/>
              <w:right w:w="150" w:type="dxa"/>
            </w:tcMar>
            <w:vAlign w:val="center"/>
          </w:tcPr>
          <w:p w:rsidR="004421DC" w:rsidRDefault="00D479E8" w14:paraId="4DF10C21" w14:textId="77777777">
            <w:pPr>
              <w:spacing w:line="260" w:lineRule="auto"/>
            </w:pPr>
            <w:r>
              <w:rPr>
                <w:b/>
                <w:bCs/>
                <w:color w:val="8754E9"/>
                <w:sz w:val="20"/>
                <w:szCs w:val="20"/>
              </w:rPr>
              <w:t>200–350%</w:t>
            </w:r>
          </w:p>
        </w:tc>
        <w:tc>
          <w:tcPr>
            <w:tcW w:w="2300" w:type="dxa"/>
            <w:tcMar>
              <w:top w:w="140" w:type="dxa"/>
              <w:left w:w="150" w:type="dxa"/>
              <w:bottom w:w="140" w:type="dxa"/>
              <w:right w:w="150" w:type="dxa"/>
            </w:tcMar>
            <w:vAlign w:val="center"/>
          </w:tcPr>
          <w:p w:rsidR="004421DC" w:rsidRDefault="00D479E8" w14:paraId="5FEEE116" w14:textId="77777777">
            <w:pPr>
              <w:spacing w:line="260" w:lineRule="auto"/>
            </w:pPr>
            <w:r>
              <w:rPr>
                <w:color w:val="6B7280"/>
                <w:sz w:val="20"/>
                <w:szCs w:val="20"/>
              </w:rPr>
              <w:t>2–3 months</w:t>
            </w:r>
          </w:p>
        </w:tc>
      </w:tr>
      <w:tr w:rsidR="004421DC" w14:paraId="3CB1866F" w14:textId="77777777">
        <w:tblPrEx>
          <w:tblCellMar>
            <w:top w:w="0" w:type="dxa"/>
            <w:bottom w:w="0" w:type="dxa"/>
          </w:tblCellMar>
        </w:tblPrEx>
        <w:trPr>
          <w:cantSplit/>
        </w:trPr>
        <w:tc>
          <w:tcPr>
            <w:tcW w:w="2800" w:type="dxa"/>
            <w:tcMar>
              <w:top w:w="140" w:type="dxa"/>
              <w:left w:w="150" w:type="dxa"/>
              <w:bottom w:w="140" w:type="dxa"/>
              <w:right w:w="150" w:type="dxa"/>
            </w:tcMar>
            <w:vAlign w:val="center"/>
          </w:tcPr>
          <w:p w:rsidR="004421DC" w:rsidRDefault="00D479E8" w14:paraId="0E0DB72C" w14:textId="77777777">
            <w:pPr>
              <w:spacing w:after="30"/>
            </w:pPr>
            <w:r>
              <w:rPr>
                <w:b/>
                <w:bCs/>
                <w:color w:val="8754E9"/>
                <w:sz w:val="20"/>
                <w:szCs w:val="20"/>
              </w:rPr>
              <w:t>Enterprise</w:t>
            </w:r>
          </w:p>
          <w:p w:rsidR="004421DC" w:rsidRDefault="00D479E8" w14:paraId="4BF784DE" w14:textId="77777777">
            <w:r>
              <w:rPr>
                <w:color w:val="9CA3AF"/>
                <w:sz w:val="16"/>
                <w:szCs w:val="16"/>
              </w:rPr>
              <w:t>£100m+ revenue, 150+ people</w:t>
            </w:r>
          </w:p>
        </w:tc>
        <w:tc>
          <w:tcPr>
            <w:tcW w:w="2400" w:type="dxa"/>
            <w:tcMar>
              <w:top w:w="140" w:type="dxa"/>
              <w:left w:w="150" w:type="dxa"/>
              <w:bottom w:w="140" w:type="dxa"/>
              <w:right w:w="150" w:type="dxa"/>
            </w:tcMar>
            <w:vAlign w:val="center"/>
          </w:tcPr>
          <w:p w:rsidR="004421DC" w:rsidRDefault="00D479E8" w14:paraId="7C541664" w14:textId="77777777">
            <w:pPr>
              <w:spacing w:line="260" w:lineRule="auto"/>
            </w:pPr>
            <w:r>
              <w:rPr>
                <w:color w:val="6B7280"/>
                <w:sz w:val="20"/>
                <w:szCs w:val="20"/>
              </w:rPr>
              <w:t>£100,000–£350,000</w:t>
            </w:r>
          </w:p>
        </w:tc>
        <w:tc>
          <w:tcPr>
            <w:tcW w:w="2365" w:type="dxa"/>
            <w:tcMar>
              <w:top w:w="140" w:type="dxa"/>
              <w:left w:w="150" w:type="dxa"/>
              <w:bottom w:w="140" w:type="dxa"/>
              <w:right w:w="150" w:type="dxa"/>
            </w:tcMar>
            <w:vAlign w:val="center"/>
          </w:tcPr>
          <w:p w:rsidR="004421DC" w:rsidRDefault="00D479E8" w14:paraId="0C732CAC" w14:textId="77777777">
            <w:pPr>
              <w:spacing w:line="260" w:lineRule="auto"/>
            </w:pPr>
            <w:r>
              <w:rPr>
                <w:b/>
                <w:bCs/>
                <w:color w:val="8754E9"/>
                <w:sz w:val="20"/>
                <w:szCs w:val="20"/>
              </w:rPr>
              <w:t>250–400%</w:t>
            </w:r>
          </w:p>
        </w:tc>
        <w:tc>
          <w:tcPr>
            <w:tcW w:w="2300" w:type="dxa"/>
            <w:tcMar>
              <w:top w:w="140" w:type="dxa"/>
              <w:left w:w="150" w:type="dxa"/>
              <w:bottom w:w="140" w:type="dxa"/>
              <w:right w:w="150" w:type="dxa"/>
            </w:tcMar>
            <w:vAlign w:val="center"/>
          </w:tcPr>
          <w:p w:rsidR="004421DC" w:rsidRDefault="00D479E8" w14:paraId="2341E3F9" w14:textId="77777777">
            <w:pPr>
              <w:spacing w:line="260" w:lineRule="auto"/>
            </w:pPr>
            <w:r>
              <w:rPr>
                <w:color w:val="6B7280"/>
                <w:sz w:val="20"/>
                <w:szCs w:val="20"/>
              </w:rPr>
              <w:t>1–2 months</w:t>
            </w:r>
          </w:p>
        </w:tc>
      </w:tr>
    </w:tbl>
    <w:p w:rsidR="004421DC" w:rsidRDefault="004421DC" w14:paraId="61829076" w14:textId="77777777">
      <w:pPr>
        <w:spacing w:after="180"/>
      </w:pPr>
    </w:p>
    <w:p w:rsidR="004421DC" w:rsidRDefault="00D479E8" w14:paraId="250EEA39" w14:textId="77777777">
      <w:pPr>
        <w:spacing w:after="160" w:line="300" w:lineRule="auto"/>
      </w:pPr>
      <w:r>
        <w:t>Payback gets faster, not slower, as an organisation gets larger. The fixed cost of doing this properly barely changes between a fifty-person team and a two-hundred-person one, but the value scales with the number of people whose work gets easier.</w:t>
      </w:r>
    </w:p>
    <w:p w:rsidR="004421DC" w:rsidRDefault="00D479E8" w14:paraId="022E6322" w14:textId="77777777">
      <w:pPr>
        <w:spacing w:after="160" w:line="300" w:lineRule="auto"/>
      </w:pPr>
      <w:r>
        <w:t>None of it comes from the licence fee itself. It comes from what happens after go-live: how much manual work genuinely stops, how quickly people trust the system enough to drop the backup spreadsheet, how fast a decision that used to wait a week starts happening in a day.</w:t>
      </w:r>
    </w:p>
    <w:p w:rsidR="004421DC" w:rsidRDefault="00D479E8" w14:paraId="3CC2BB5E" w14:textId="77777777">
      <w:pPr>
        <w:spacing w:after="160" w:line="300" w:lineRule="auto"/>
      </w:pPr>
      <w:r>
        <w:t>None of it is automatic either. Return slows, sometimes to nothing, when adoption stalls, scope quietly expands, integration turns out more tangled than expected, or the sponsor loses interest around month three.</w:t>
      </w:r>
    </w:p>
    <w:p w:rsidR="004421DC" w:rsidRDefault="004421DC" w14:paraId="2BA226A1" w14:textId="77777777">
      <w:pPr>
        <w:spacing w:after="140"/>
      </w:pPr>
    </w:p>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835"/>
      </w:tblGrid>
      <w:tr w:rsidR="004421DC" w:rsidTr="7068594A" w14:paraId="44FE1FF4" w14:textId="77777777">
        <w:tblPrEx>
          <w:tblCellMar>
            <w:top w:w="0" w:type="dxa"/>
            <w:bottom w:w="0" w:type="dxa"/>
          </w:tblCellMar>
        </w:tblPrEx>
        <w:trPr>
          <w:cantSplit/>
        </w:trPr>
        <w:tc>
          <w:tcPr>
            <w:tcW w:w="5000" w:type="pct"/>
            <w:tcBorders>
              <w:top w:val="none" w:color="FFFFFF" w:themeColor="background1" w:sz="0" w:space="0"/>
              <w:left w:val="single" w:color="8754E9" w:sz="24" w:space="0"/>
              <w:bottom w:val="none" w:color="FFFFFF" w:themeColor="background1" w:sz="0" w:space="0"/>
              <w:right w:val="none" w:color="FFFFFF" w:themeColor="background1" w:sz="0" w:space="0"/>
            </w:tcBorders>
            <w:shd w:val="clear" w:color="auto" w:fill="F7F5FC"/>
            <w:tcMar>
              <w:top w:w="200" w:type="dxa"/>
              <w:left w:w="260" w:type="dxa"/>
              <w:bottom w:w="200" w:type="dxa"/>
              <w:right w:w="260" w:type="dxa"/>
            </w:tcMar>
          </w:tcPr>
          <w:p w:rsidR="004421DC" w:rsidRDefault="00D479E8" w14:paraId="6D58F52B" w14:textId="77777777">
            <w:pPr>
              <w:spacing w:after="80"/>
            </w:pPr>
            <w:r>
              <w:rPr>
                <w:b/>
                <w:bCs/>
                <w:color w:val="6B7280"/>
                <w:spacing w:val="12"/>
                <w:sz w:val="16"/>
                <w:szCs w:val="16"/>
              </w:rPr>
              <w:t>CODM'S PERSPECTIVE</w:t>
            </w:r>
          </w:p>
          <w:p w:rsidR="004421DC" w:rsidRDefault="00D479E8" w14:paraId="1C855B52" w14:textId="213E6850">
            <w:pPr>
              <w:spacing w:line="300" w:lineRule="auto"/>
            </w:pPr>
            <w:r w:rsidR="00D479E8">
              <w:rPr/>
              <w:t>We'd</w:t>
            </w:r>
            <w:r w:rsidR="00D479E8">
              <w:rPr/>
              <w:t xml:space="preserve"> rather undersell this than oversell it. We build three numbers when we scope an engagement, conservative, likely, and stretch, and ask clients to plan around the conservative one. Most of the time the actual result lands closer to the </w:t>
            </w:r>
            <w:r w:rsidR="00D479E8">
              <w:rPr/>
              <w:t>likely case</w:t>
            </w:r>
            <w:r w:rsidR="00D479E8">
              <w:rPr/>
              <w:t>.</w:t>
            </w:r>
          </w:p>
        </w:tc>
      </w:tr>
    </w:tbl>
    <w:p w:rsidR="7068594A" w:rsidP="7068594A" w:rsidRDefault="7068594A" w14:paraId="71BB6C5F" w14:textId="1AE39943">
      <w:pPr>
        <w:pStyle w:val="Normal"/>
        <w:rPr>
          <w:b w:val="1"/>
          <w:bCs w:val="1"/>
          <w:color w:val="8754E9"/>
          <w:sz w:val="16"/>
          <w:szCs w:val="16"/>
        </w:rPr>
      </w:pPr>
    </w:p>
    <w:p w:rsidR="7068594A" w:rsidP="7068594A" w:rsidRDefault="7068594A" w14:paraId="6CC4B5BE" w14:textId="1C066894">
      <w:pPr>
        <w:pStyle w:val="Normal"/>
        <w:rPr>
          <w:b w:val="1"/>
          <w:bCs w:val="1"/>
          <w:color w:val="8754E9"/>
          <w:sz w:val="16"/>
          <w:szCs w:val="16"/>
        </w:rPr>
      </w:pPr>
    </w:p>
    <w:p w:rsidR="004421DC" w:rsidP="7068594A" w:rsidRDefault="00D479E8" w14:paraId="1DF6F8B2" w14:textId="58D3720B">
      <w:pPr>
        <w:pStyle w:val="Normal"/>
        <w:spacing w:after="100"/>
      </w:pPr>
      <w:r w:rsidRPr="7068594A" w:rsidR="00D479E8">
        <w:rPr>
          <w:b w:val="1"/>
          <w:bCs w:val="1"/>
          <w:color w:val="8754E9"/>
          <w:sz w:val="16"/>
          <w:szCs w:val="16"/>
        </w:rPr>
        <w:t>OUTCOMES</w:t>
      </w:r>
    </w:p>
    <w:p w:rsidR="004421DC" w:rsidRDefault="00D479E8" w14:paraId="67D5E76C" w14:textId="77777777">
      <w:pPr>
        <w:spacing w:after="60"/>
      </w:pPr>
      <w:r>
        <w:rPr>
          <w:b/>
          <w:bCs/>
          <w:sz w:val="36"/>
          <w:szCs w:val="36"/>
        </w:rPr>
        <w:t>What good actually looks like</w:t>
      </w:r>
    </w:p>
    <w:tbl>
      <w:tblPr>
        <w:tblW w:w="90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0"/>
      </w:tblGrid>
      <w:tr w:rsidR="004421DC" w14:paraId="0DE4B5B7" w14:textId="77777777">
        <w:tblPrEx>
          <w:tblCellMar>
            <w:top w:w="0" w:type="dxa"/>
            <w:bottom w:w="0" w:type="dxa"/>
          </w:tblCellMar>
        </w:tblPrEx>
        <w:trPr>
          <w:trHeight w:val="50" w:hRule="exact"/>
        </w:trPr>
        <w:tc>
          <w:tcPr>
            <w:tcW w:w="900" w:type="dxa"/>
            <w:tcBorders>
              <w:top w:val="none" w:color="FFFFFF" w:sz="0" w:space="0"/>
              <w:left w:val="none" w:color="FFFFFF" w:sz="0" w:space="0"/>
              <w:bottom w:val="none" w:color="FFFFFF" w:sz="0" w:space="0"/>
              <w:right w:val="none" w:color="FFFFFF" w:sz="0" w:space="0"/>
            </w:tcBorders>
            <w:shd w:val="clear" w:color="auto" w:fill="8754E9"/>
          </w:tcPr>
          <w:p w:rsidR="004421DC" w:rsidRDefault="004421DC" w14:paraId="66204FF1" w14:textId="77777777"/>
        </w:tc>
      </w:tr>
    </w:tbl>
    <w:p w:rsidR="004421DC" w:rsidRDefault="004421DC" w14:paraId="2DBF0D7D" w14:textId="77777777">
      <w:pPr>
        <w:spacing w:after="140"/>
      </w:pPr>
    </w:p>
    <w:p w:rsidR="004421DC" w:rsidRDefault="00D479E8" w14:paraId="157E42CC" w14:textId="77777777">
      <w:pPr>
        <w:spacing w:after="160" w:line="300" w:lineRule="auto"/>
      </w:pPr>
      <w:r>
        <w:t>Most of what follows sits under three outcomes we come back to again and again, whichever part of an organisation we're working with. The details differ, but the shape of the problem, and the fix, tend not to.</w:t>
      </w:r>
    </w:p>
    <w:p w:rsidR="004421DC" w:rsidRDefault="00D479E8" w14:paraId="6BB5945D" w14:textId="77777777">
      <w:pPr>
        <w:spacing w:after="160" w:line="300" w:lineRule="auto"/>
      </w:pPr>
      <w:r>
        <w:t>We picked these three because they're the ones that come up first in almost every new client conversation, usually within the first ten minutes.</w:t>
      </w:r>
    </w:p>
    <w:p w:rsidR="004421DC" w:rsidRDefault="00D479E8" w14:paraId="6B62F1B3" w14:textId="77777777">
      <w:r>
        <w:br w:type="page"/>
      </w:r>
    </w:p>
    <w:p w:rsidR="004421DC" w:rsidRDefault="00D479E8" w14:paraId="3034665C" w14:textId="77777777">
      <w:pPr>
        <w:spacing w:after="100"/>
      </w:pPr>
      <w:r>
        <w:rPr>
          <w:b/>
          <w:bCs/>
          <w:color w:val="8754E9"/>
          <w:spacing w:val="20"/>
          <w:sz w:val="16"/>
          <w:szCs w:val="16"/>
        </w:rPr>
        <w:t>OUTCOME ONE</w:t>
      </w:r>
    </w:p>
    <w:p w:rsidR="004421DC" w:rsidRDefault="00D479E8" w14:paraId="7D52169B" w14:textId="77777777">
      <w:pPr>
        <w:spacing w:after="60"/>
      </w:pPr>
      <w:r>
        <w:rPr>
          <w:b/>
          <w:bCs/>
          <w:sz w:val="36"/>
          <w:szCs w:val="36"/>
        </w:rPr>
        <w:t>Operational visibility</w:t>
      </w:r>
    </w:p>
    <w:tbl>
      <w:tblPr>
        <w:tblW w:w="90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0"/>
      </w:tblGrid>
      <w:tr w:rsidR="004421DC" w14:paraId="02F2C34E" w14:textId="77777777">
        <w:tblPrEx>
          <w:tblCellMar>
            <w:top w:w="0" w:type="dxa"/>
            <w:bottom w:w="0" w:type="dxa"/>
          </w:tblCellMar>
        </w:tblPrEx>
        <w:trPr>
          <w:trHeight w:val="50" w:hRule="exact"/>
        </w:trPr>
        <w:tc>
          <w:tcPr>
            <w:tcW w:w="900" w:type="dxa"/>
            <w:tcBorders>
              <w:top w:val="none" w:color="FFFFFF" w:sz="0" w:space="0"/>
              <w:left w:val="none" w:color="FFFFFF" w:sz="0" w:space="0"/>
              <w:bottom w:val="none" w:color="FFFFFF" w:sz="0" w:space="0"/>
              <w:right w:val="none" w:color="FFFFFF" w:sz="0" w:space="0"/>
            </w:tcBorders>
            <w:shd w:val="clear" w:color="auto" w:fill="8754E9"/>
          </w:tcPr>
          <w:p w:rsidR="004421DC" w:rsidRDefault="004421DC" w14:paraId="680A4E5D" w14:textId="77777777"/>
        </w:tc>
      </w:tr>
    </w:tbl>
    <w:p w:rsidR="004421DC" w:rsidRDefault="004421DC" w14:paraId="19219836" w14:textId="77777777">
      <w:pPr>
        <w:spacing w:after="140"/>
      </w:pPr>
    </w:p>
    <w:p w:rsidR="004421DC" w:rsidRDefault="00D479E8" w14:paraId="1965F34D" w14:textId="77777777">
      <w:pPr>
        <w:spacing w:after="160" w:line="300" w:lineRule="auto"/>
      </w:pPr>
      <w:r>
        <w:t>Ask a leadership team what's happening in the business right now and you'll usually get an answer with a caveat attached, as of last week's report, roughly. The honest answer often lives in three or four places, and by the time it's pulled together, it's already out of date.</w:t>
      </w:r>
    </w:p>
    <w:p w:rsidR="004421DC" w:rsidRDefault="00D479E8" w14:paraId="474CACBA" w14:textId="77777777">
      <w:pPr>
        <w:spacing w:after="140" w:line="300" w:lineRule="auto"/>
      </w:pPr>
      <w:r>
        <w:t>This is the most common starting point for the work we do, more than anything else.</w:t>
      </w:r>
    </w:p>
    <w:p w:rsidR="004421DC" w:rsidRDefault="00D479E8" w14:paraId="455DF7E1" w14:textId="77777777">
      <w:pPr>
        <w:spacing w:before="100" w:after="100"/>
      </w:pPr>
      <w:r>
        <w:rPr>
          <w:b/>
          <w:bCs/>
          <w:sz w:val="25"/>
          <w:szCs w:val="25"/>
        </w:rPr>
        <w:t>Why it happens</w:t>
      </w:r>
    </w:p>
    <w:p w:rsidR="004421DC" w:rsidRDefault="00D479E8" w14:paraId="60AB2DF6" w14:textId="77777777">
      <w:pPr>
        <w:spacing w:after="160" w:line="300" w:lineRule="auto"/>
      </w:pPr>
      <w:r>
        <w:t>Usually an accumulation of small decisions rather than one big failure: a system built for a smaller team, a spreadsheet that never got replaced, a second system nobody quite trusts. None looked wrong at the time. They just never got revisited.</w:t>
      </w:r>
    </w:p>
    <w:p w:rsidR="004421DC" w:rsidRDefault="00D479E8" w14:paraId="16B37E12" w14:textId="77777777">
      <w:pPr>
        <w:spacing w:before="100" w:after="100"/>
      </w:pPr>
      <w:r>
        <w:rPr>
          <w:b/>
          <w:bCs/>
          <w:sz w:val="25"/>
          <w:szCs w:val="25"/>
        </w:rPr>
        <w:t>What changes once it's fixed</w:t>
      </w:r>
    </w:p>
    <w:p w:rsidR="004421DC" w:rsidRDefault="00D479E8" w14:paraId="70C9CDF4" w14:textId="77777777">
      <w:pPr>
        <w:spacing w:after="160" w:line="300" w:lineRule="auto"/>
      </w:pPr>
      <w:r>
        <w:t>Organisations that get this right can answer 'what's actually going on' in minutes rather than days, because there's one place the answer lives and everyone agrees it's the right place. Decisions stop waiting for the next scheduled report.</w:t>
      </w:r>
    </w:p>
    <w:p w:rsidR="004421DC" w:rsidRDefault="00D479E8" w14:paraId="2BD64BC8" w14:textId="77777777">
      <w:pPr>
        <w:spacing w:before="100" w:after="100"/>
      </w:pPr>
      <w:r>
        <w:rPr>
          <w:b/>
          <w:bCs/>
          <w:sz w:val="25"/>
          <w:szCs w:val="25"/>
        </w:rPr>
        <w:t>How it actually gets fixed</w:t>
      </w:r>
    </w:p>
    <w:p w:rsidR="004421DC" w:rsidRDefault="00D479E8" w14:paraId="3ADE931F" w14:textId="77777777">
      <w:pPr>
        <w:spacing w:after="160" w:line="300" w:lineRule="auto"/>
      </w:pPr>
      <w:r>
        <w:t>It starts with an unglamorous exercise: working out where the real data lives, which version people trust, and why. That usually takes a couple of weeks and turns up more duplication than expected. Once that's sorted, systems get connected properly so information updates itself. Only then does reporting become worth investing in.</w:t>
      </w:r>
    </w:p>
    <w:p w:rsidR="004421DC" w:rsidRDefault="00D479E8" w14:paraId="770681E1" w14:textId="77777777">
      <w:pPr>
        <w:spacing w:before="100" w:after="100"/>
      </w:pPr>
      <w:r>
        <w:rPr>
          <w:b/>
          <w:bCs/>
          <w:sz w:val="25"/>
          <w:szCs w:val="25"/>
        </w:rPr>
        <w:t>What tends to move</w:t>
      </w:r>
    </w:p>
    <w:p w:rsidR="004421DC" w:rsidRDefault="00D479E8" w14:paraId="0AFD855A" w14:textId="77777777">
      <w:pPr>
        <w:spacing w:after="160" w:line="300" w:lineRule="auto"/>
      </w:pPr>
      <w:r>
        <w:t>Most organisations start around sixty to seventy percent data accuracy with a reporting cycle measured in days. Ninety days in, that's usually above ninety percent, updated close to instantly.</w:t>
      </w:r>
    </w:p>
    <w:p w:rsidR="004421DC" w:rsidRDefault="004421DC" w14:paraId="296FEF7D" w14:textId="77777777">
      <w:pPr>
        <w:spacing w:after="140"/>
      </w:pPr>
    </w:p>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835"/>
      </w:tblGrid>
      <w:tr w:rsidR="004421DC" w14:paraId="733AE37E" w14:textId="77777777">
        <w:tblPrEx>
          <w:tblCellMar>
            <w:top w:w="0" w:type="dxa"/>
            <w:bottom w:w="0" w:type="dxa"/>
          </w:tblCellMar>
        </w:tblPrEx>
        <w:trPr>
          <w:cantSplit/>
        </w:trPr>
        <w:tc>
          <w:tcPr>
            <w:tcW w:w="5000" w:type="pct"/>
            <w:tcBorders>
              <w:top w:val="none" w:color="FFFFFF" w:sz="0" w:space="0"/>
              <w:left w:val="single" w:color="8754E9" w:sz="24" w:space="0"/>
              <w:bottom w:val="none" w:color="FFFFFF" w:sz="0" w:space="0"/>
              <w:right w:val="none" w:color="FFFFFF" w:sz="0" w:space="0"/>
            </w:tcBorders>
            <w:shd w:val="clear" w:color="auto" w:fill="F7F5FC"/>
            <w:tcMar>
              <w:top w:w="200" w:type="dxa"/>
              <w:left w:w="260" w:type="dxa"/>
              <w:bottom w:w="200" w:type="dxa"/>
              <w:right w:w="260" w:type="dxa"/>
            </w:tcMar>
          </w:tcPr>
          <w:p w:rsidR="004421DC" w:rsidRDefault="00D479E8" w14:paraId="0DEC5DBD" w14:textId="77777777">
            <w:pPr>
              <w:spacing w:after="80"/>
            </w:pPr>
            <w:r>
              <w:rPr>
                <w:b/>
                <w:bCs/>
                <w:color w:val="6B7280"/>
                <w:spacing w:val="12"/>
                <w:sz w:val="16"/>
                <w:szCs w:val="16"/>
              </w:rPr>
              <w:t>CODM'S PERSPECTIVE</w:t>
            </w:r>
          </w:p>
          <w:p w:rsidR="004421DC" w:rsidRDefault="00D479E8" w14:paraId="2C02311C" w14:textId="77777777">
            <w:pPr>
              <w:spacing w:line="300" w:lineRule="auto"/>
            </w:pPr>
            <w:r>
              <w:t>This is usually where we start. Everything else depends on people trusting the data underneath it. We spend the first week or two working out where the truth already lives before touching any configuration.</w:t>
            </w:r>
          </w:p>
        </w:tc>
      </w:tr>
    </w:tbl>
    <w:p w:rsidR="004421DC" w:rsidRDefault="00D479E8" w14:paraId="7194DBDC" w14:textId="77777777">
      <w:r>
        <w:br w:type="page"/>
      </w:r>
    </w:p>
    <w:p w:rsidR="004421DC" w:rsidRDefault="00D479E8" w14:paraId="22820FD0" w14:textId="77777777">
      <w:pPr>
        <w:spacing w:after="100"/>
      </w:pPr>
      <w:r>
        <w:rPr>
          <w:b/>
          <w:bCs/>
          <w:color w:val="8754E9"/>
          <w:spacing w:val="20"/>
          <w:sz w:val="16"/>
          <w:szCs w:val="16"/>
        </w:rPr>
        <w:t>OUTCOME TWO</w:t>
      </w:r>
    </w:p>
    <w:p w:rsidR="004421DC" w:rsidRDefault="00D479E8" w14:paraId="742E4E95" w14:textId="77777777">
      <w:pPr>
        <w:spacing w:after="60"/>
      </w:pPr>
      <w:r>
        <w:rPr>
          <w:b/>
          <w:bCs/>
          <w:sz w:val="36"/>
          <w:szCs w:val="36"/>
        </w:rPr>
        <w:t>Operational efficiency</w:t>
      </w:r>
    </w:p>
    <w:tbl>
      <w:tblPr>
        <w:tblW w:w="90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0"/>
      </w:tblGrid>
      <w:tr w:rsidR="004421DC" w14:paraId="769D0D3C" w14:textId="77777777">
        <w:tblPrEx>
          <w:tblCellMar>
            <w:top w:w="0" w:type="dxa"/>
            <w:bottom w:w="0" w:type="dxa"/>
          </w:tblCellMar>
        </w:tblPrEx>
        <w:trPr>
          <w:trHeight w:val="50" w:hRule="exact"/>
        </w:trPr>
        <w:tc>
          <w:tcPr>
            <w:tcW w:w="900" w:type="dxa"/>
            <w:tcBorders>
              <w:top w:val="none" w:color="FFFFFF" w:sz="0" w:space="0"/>
              <w:left w:val="none" w:color="FFFFFF" w:sz="0" w:space="0"/>
              <w:bottom w:val="none" w:color="FFFFFF" w:sz="0" w:space="0"/>
              <w:right w:val="none" w:color="FFFFFF" w:sz="0" w:space="0"/>
            </w:tcBorders>
            <w:shd w:val="clear" w:color="auto" w:fill="8754E9"/>
          </w:tcPr>
          <w:p w:rsidR="004421DC" w:rsidRDefault="004421DC" w14:paraId="54CD245A" w14:textId="77777777"/>
        </w:tc>
      </w:tr>
    </w:tbl>
    <w:p w:rsidR="004421DC" w:rsidRDefault="004421DC" w14:paraId="1231BE67" w14:textId="77777777">
      <w:pPr>
        <w:spacing w:after="140"/>
      </w:pPr>
    </w:p>
    <w:p w:rsidR="004421DC" w:rsidRDefault="00D479E8" w14:paraId="79102AA5" w14:textId="77777777">
      <w:pPr>
        <w:spacing w:after="160" w:line="300" w:lineRule="auto"/>
      </w:pPr>
      <w:r>
        <w:t>Watch how a team spends its day and the gap is obvious fast. A meaningful chunk disappears into re-entering data, chasing updates, reformatting the same report for a different audience. None of it feels like waste in the moment.</w:t>
      </w:r>
    </w:p>
    <w:p w:rsidR="004421DC" w:rsidRDefault="00D479E8" w14:paraId="5C054059" w14:textId="77777777">
      <w:pPr>
        <w:spacing w:after="140" w:line="300" w:lineRule="auto"/>
      </w:pPr>
      <w:r>
        <w:t>Most teams we look at closely are spending close to half their time on work that has nothing to do with what they were actually hired to do.</w:t>
      </w:r>
    </w:p>
    <w:p w:rsidR="004421DC" w:rsidRDefault="00D479E8" w14:paraId="5D0DAF0F" w14:textId="77777777">
      <w:pPr>
        <w:spacing w:before="100" w:after="100"/>
      </w:pPr>
      <w:r>
        <w:rPr>
          <w:b/>
          <w:bCs/>
          <w:sz w:val="25"/>
          <w:szCs w:val="25"/>
        </w:rPr>
        <w:t>Where it comes from</w:t>
      </w:r>
    </w:p>
    <w:p w:rsidR="004421DC" w:rsidRDefault="00D479E8" w14:paraId="5B30D1AC" w14:textId="77777777">
      <w:pPr>
        <w:spacing w:after="160" w:line="300" w:lineRule="auto"/>
      </w:pPr>
      <w:r>
        <w:t>Rarely deliberate. A process gets built around whatever tool was available, and it works well enough that nobody questions it again. Automation gets talked about, then deprioritised, because the clunky way still technically works.</w:t>
      </w:r>
    </w:p>
    <w:p w:rsidR="004421DC" w:rsidRDefault="00D479E8" w14:paraId="36897BF5" w14:textId="77777777">
      <w:pPr>
        <w:spacing w:before="100" w:after="100"/>
      </w:pPr>
      <w:r>
        <w:rPr>
          <w:b/>
          <w:bCs/>
          <w:sz w:val="25"/>
          <w:szCs w:val="25"/>
        </w:rPr>
        <w:t>What it looks like once it's fixed</w:t>
      </w:r>
    </w:p>
    <w:p w:rsidR="004421DC" w:rsidRDefault="00D479E8" w14:paraId="77A9436C" w14:textId="77777777">
      <w:pPr>
        <w:spacing w:after="160" w:line="300" w:lineRule="auto"/>
      </w:pPr>
      <w:r>
        <w:t>Teams that get this right aren't working harder, they've stopped doing the parts of the job that were never necessary. A new starter is productive within weeks rather than months, because the process is written down rather than living in one person's head.</w:t>
      </w:r>
    </w:p>
    <w:p w:rsidR="004421DC" w:rsidRDefault="00D479E8" w14:paraId="4BA7BB01" w14:textId="77777777">
      <w:pPr>
        <w:spacing w:before="100" w:after="100"/>
      </w:pPr>
      <w:r>
        <w:rPr>
          <w:b/>
          <w:bCs/>
          <w:sz w:val="25"/>
          <w:szCs w:val="25"/>
        </w:rPr>
        <w:t>How it actually gets fixed</w:t>
      </w:r>
    </w:p>
    <w:p w:rsidR="004421DC" w:rsidRDefault="00D479E8" w14:paraId="502AE34D" w14:textId="77777777">
      <w:pPr>
        <w:spacing w:after="160" w:line="300" w:lineRule="auto"/>
      </w:pPr>
      <w:r>
        <w:t>Automation matters, but it's not the first move, automating a bad process just makes it faster. The first step is working out what the process should be today, not defending what it happened to become. Then the repetitive parts get automated, and what's left is training people on the new way, which tends to stick fast because it's genuinely easier.</w:t>
      </w:r>
    </w:p>
    <w:p w:rsidR="004421DC" w:rsidRDefault="00D479E8" w14:paraId="01344C28" w14:textId="77777777">
      <w:pPr>
        <w:spacing w:before="100" w:after="100"/>
      </w:pPr>
      <w:r>
        <w:rPr>
          <w:b/>
          <w:bCs/>
          <w:sz w:val="25"/>
          <w:szCs w:val="25"/>
        </w:rPr>
        <w:t>What tends to move</w:t>
      </w:r>
    </w:p>
    <w:p w:rsidR="004421DC" w:rsidRDefault="00D479E8" w14:paraId="7D862307" w14:textId="77777777">
      <w:pPr>
        <w:spacing w:after="160" w:line="300" w:lineRule="auto"/>
      </w:pPr>
      <w:r>
        <w:t>Teams losing close to half their time to admin usually get that under a fifth within a few months. New starters who took three to six months to become useful are typically there in four to six weeks.</w:t>
      </w:r>
    </w:p>
    <w:p w:rsidR="004421DC" w:rsidRDefault="004421DC" w14:paraId="36FEB5B0" w14:textId="77777777">
      <w:pPr>
        <w:spacing w:after="140"/>
      </w:pPr>
    </w:p>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835"/>
      </w:tblGrid>
      <w:tr w:rsidR="004421DC" w14:paraId="7C954C86" w14:textId="77777777">
        <w:tblPrEx>
          <w:tblCellMar>
            <w:top w:w="0" w:type="dxa"/>
            <w:bottom w:w="0" w:type="dxa"/>
          </w:tblCellMar>
        </w:tblPrEx>
        <w:trPr>
          <w:cantSplit/>
        </w:trPr>
        <w:tc>
          <w:tcPr>
            <w:tcW w:w="5000" w:type="pct"/>
            <w:tcBorders>
              <w:top w:val="none" w:color="FFFFFF" w:sz="0" w:space="0"/>
              <w:left w:val="single" w:color="8754E9" w:sz="24" w:space="0"/>
              <w:bottom w:val="none" w:color="FFFFFF" w:sz="0" w:space="0"/>
              <w:right w:val="none" w:color="FFFFFF" w:sz="0" w:space="0"/>
            </w:tcBorders>
            <w:shd w:val="clear" w:color="auto" w:fill="F7F5FC"/>
            <w:tcMar>
              <w:top w:w="200" w:type="dxa"/>
              <w:left w:w="260" w:type="dxa"/>
              <w:bottom w:w="200" w:type="dxa"/>
              <w:right w:w="260" w:type="dxa"/>
            </w:tcMar>
          </w:tcPr>
          <w:p w:rsidR="004421DC" w:rsidRDefault="00D479E8" w14:paraId="18129F19" w14:textId="77777777">
            <w:pPr>
              <w:spacing w:after="80"/>
            </w:pPr>
            <w:r>
              <w:rPr>
                <w:b/>
                <w:bCs/>
                <w:color w:val="6B7280"/>
                <w:spacing w:val="12"/>
                <w:sz w:val="16"/>
                <w:szCs w:val="16"/>
              </w:rPr>
              <w:t>CODM'S PERSPECTIVE</w:t>
            </w:r>
          </w:p>
          <w:p w:rsidR="004421DC" w:rsidRDefault="00D479E8" w14:paraId="7CF8074E" w14:textId="77777777">
            <w:pPr>
              <w:spacing w:line="300" w:lineRule="auto"/>
            </w:pPr>
            <w:r>
              <w:t>We design around how a team actually works, not how the org chart says it should. Automating the repetitive stuff first is usually the fastest return, but only if the process underneath was worth automating in the first place.</w:t>
            </w:r>
          </w:p>
        </w:tc>
      </w:tr>
    </w:tbl>
    <w:p w:rsidR="004421DC" w:rsidRDefault="00D479E8" w14:paraId="30D7AA69" w14:textId="77777777">
      <w:r>
        <w:br w:type="page"/>
      </w:r>
    </w:p>
    <w:p w:rsidR="004421DC" w:rsidRDefault="00D479E8" w14:paraId="6A80FB10" w14:textId="77777777">
      <w:pPr>
        <w:spacing w:after="100"/>
      </w:pPr>
      <w:r>
        <w:rPr>
          <w:b/>
          <w:bCs/>
          <w:color w:val="8754E9"/>
          <w:spacing w:val="20"/>
          <w:sz w:val="16"/>
          <w:szCs w:val="16"/>
        </w:rPr>
        <w:t>OUTCOME THREE</w:t>
      </w:r>
    </w:p>
    <w:p w:rsidR="004421DC" w:rsidRDefault="00D479E8" w14:paraId="26BF94AC" w14:textId="77777777">
      <w:pPr>
        <w:spacing w:after="60"/>
      </w:pPr>
      <w:r>
        <w:rPr>
          <w:b/>
          <w:bCs/>
          <w:sz w:val="36"/>
          <w:szCs w:val="36"/>
        </w:rPr>
        <w:t>Reliable decision-making</w:t>
      </w:r>
    </w:p>
    <w:tbl>
      <w:tblPr>
        <w:tblW w:w="90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0"/>
      </w:tblGrid>
      <w:tr w:rsidR="004421DC" w14:paraId="7196D064" w14:textId="77777777">
        <w:tblPrEx>
          <w:tblCellMar>
            <w:top w:w="0" w:type="dxa"/>
            <w:bottom w:w="0" w:type="dxa"/>
          </w:tblCellMar>
        </w:tblPrEx>
        <w:trPr>
          <w:trHeight w:val="50" w:hRule="exact"/>
        </w:trPr>
        <w:tc>
          <w:tcPr>
            <w:tcW w:w="900" w:type="dxa"/>
            <w:tcBorders>
              <w:top w:val="none" w:color="FFFFFF" w:sz="0" w:space="0"/>
              <w:left w:val="none" w:color="FFFFFF" w:sz="0" w:space="0"/>
              <w:bottom w:val="none" w:color="FFFFFF" w:sz="0" w:space="0"/>
              <w:right w:val="none" w:color="FFFFFF" w:sz="0" w:space="0"/>
            </w:tcBorders>
            <w:shd w:val="clear" w:color="auto" w:fill="8754E9"/>
          </w:tcPr>
          <w:p w:rsidR="004421DC" w:rsidRDefault="004421DC" w14:paraId="34FF1C98" w14:textId="77777777"/>
        </w:tc>
      </w:tr>
    </w:tbl>
    <w:p w:rsidR="004421DC" w:rsidRDefault="004421DC" w14:paraId="6D072C0D" w14:textId="77777777">
      <w:pPr>
        <w:spacing w:after="140"/>
      </w:pPr>
    </w:p>
    <w:p w:rsidR="004421DC" w:rsidRDefault="00D479E8" w14:paraId="55BF5F11" w14:textId="77777777">
      <w:pPr>
        <w:spacing w:after="160" w:line="300" w:lineRule="auto"/>
      </w:pPr>
      <w:r>
        <w:t>Every organisation decides on the numbers it has, not the numbers it wishes it had. Most leadership teams have got used to those numbers being a bit wrong, a bit late, or both, and built a workaround culture around it: a gut check here, a second opinion there.</w:t>
      </w:r>
    </w:p>
    <w:p w:rsidR="004421DC" w:rsidRDefault="00D479E8" w14:paraId="6D793956" w14:textId="77777777">
      <w:pPr>
        <w:spacing w:after="140" w:line="300" w:lineRule="auto"/>
      </w:pPr>
      <w:r>
        <w:t>It works, in the sense that decisions still get made. Just slower, and with less confidence than needed.</w:t>
      </w:r>
    </w:p>
    <w:p w:rsidR="004421DC" w:rsidRDefault="00D479E8" w14:paraId="589E6FDF" w14:textId="77777777">
      <w:pPr>
        <w:spacing w:before="100" w:after="100"/>
      </w:pPr>
      <w:r>
        <w:rPr>
          <w:b/>
          <w:bCs/>
          <w:sz w:val="25"/>
          <w:szCs w:val="25"/>
        </w:rPr>
        <w:t>Where it comes from</w:t>
      </w:r>
    </w:p>
    <w:p w:rsidR="004421DC" w:rsidRDefault="00D479E8" w14:paraId="7FB7700A" w14:textId="77777777">
      <w:pPr>
        <w:spacing w:after="160" w:line="300" w:lineRule="auto"/>
      </w:pPr>
      <w:r>
        <w:t>Partly definitions: ask three people what 'on track' means and expect three different answers. Partly timing: by the time a report's compiled and circulated, the moment it described has passed. Partly structure: different teams keep their own version of the truth, and nobody's forced to reconcile them.</w:t>
      </w:r>
    </w:p>
    <w:p w:rsidR="004421DC" w:rsidRDefault="00D479E8" w14:paraId="121DF1A1" w14:textId="77777777">
      <w:pPr>
        <w:spacing w:before="100" w:after="100"/>
      </w:pPr>
      <w:r>
        <w:rPr>
          <w:b/>
          <w:bCs/>
          <w:sz w:val="25"/>
          <w:szCs w:val="25"/>
        </w:rPr>
        <w:t>What changes once it's fixed</w:t>
      </w:r>
    </w:p>
    <w:p w:rsidR="004421DC" w:rsidRDefault="00D479E8" w14:paraId="513CF5C1" w14:textId="77777777">
      <w:pPr>
        <w:spacing w:after="160" w:line="300" w:lineRule="auto"/>
      </w:pPr>
      <w:r>
        <w:t>Decisions stop waiting for the next scheduled report. Leadership teams that get this right aren't smarter, they just spend less time arguing about whose number is correct.</w:t>
      </w:r>
    </w:p>
    <w:p w:rsidR="004421DC" w:rsidRDefault="00D479E8" w14:paraId="2744E5A5" w14:textId="77777777">
      <w:pPr>
        <w:spacing w:before="100" w:after="100"/>
      </w:pPr>
      <w:r>
        <w:rPr>
          <w:b/>
          <w:bCs/>
          <w:sz w:val="25"/>
          <w:szCs w:val="25"/>
        </w:rPr>
        <w:t>How it actually gets fixed</w:t>
      </w:r>
    </w:p>
    <w:p w:rsidR="004421DC" w:rsidRDefault="00D479E8" w14:paraId="119C789B" w14:textId="77777777">
      <w:pPr>
        <w:spacing w:after="160" w:line="300" w:lineRule="auto"/>
      </w:pPr>
      <w:r>
        <w:t>It starts with agreeing what things mean, in writing, once, so the same word means the same thing to everyone. That sounds too simple to matter, but it's usually the step that gets skipped. Once definitions are settled, the numbers get pulled into one place, and only then does foresight get added: indicators that suggest what's about to happen rather than only reporting what already did.</w:t>
      </w:r>
    </w:p>
    <w:p w:rsidR="004421DC" w:rsidRDefault="00D479E8" w14:paraId="5EBEB909" w14:textId="77777777">
      <w:pPr>
        <w:spacing w:before="100" w:after="100"/>
      </w:pPr>
      <w:r>
        <w:rPr>
          <w:b/>
          <w:bCs/>
          <w:sz w:val="25"/>
          <w:szCs w:val="25"/>
        </w:rPr>
        <w:t>What tends to move</w:t>
      </w:r>
    </w:p>
    <w:p w:rsidR="004421DC" w:rsidRDefault="00D479E8" w14:paraId="53917195" w14:textId="77777777">
      <w:pPr>
        <w:spacing w:after="160" w:line="300" w:lineRule="auto"/>
      </w:pPr>
      <w:r>
        <w:t>Organisations waiting several days for a trustworthy number are usually down to a few hours. How many leaders say they actually trust the figures in front of them typically moves from around four in ten to closer to nine in ten.</w:t>
      </w:r>
    </w:p>
    <w:p w:rsidR="004421DC" w:rsidRDefault="004421DC" w14:paraId="48A21919" w14:textId="77777777">
      <w:pPr>
        <w:spacing w:after="140"/>
      </w:pPr>
    </w:p>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835"/>
      </w:tblGrid>
      <w:tr w:rsidR="004421DC" w14:paraId="3CFF4A0A" w14:textId="77777777">
        <w:tblPrEx>
          <w:tblCellMar>
            <w:top w:w="0" w:type="dxa"/>
            <w:bottom w:w="0" w:type="dxa"/>
          </w:tblCellMar>
        </w:tblPrEx>
        <w:trPr>
          <w:cantSplit/>
        </w:trPr>
        <w:tc>
          <w:tcPr>
            <w:tcW w:w="5000" w:type="pct"/>
            <w:tcBorders>
              <w:top w:val="none" w:color="FFFFFF" w:sz="0" w:space="0"/>
              <w:left w:val="single" w:color="8754E9" w:sz="24" w:space="0"/>
              <w:bottom w:val="none" w:color="FFFFFF" w:sz="0" w:space="0"/>
              <w:right w:val="none" w:color="FFFFFF" w:sz="0" w:space="0"/>
            </w:tcBorders>
            <w:shd w:val="clear" w:color="auto" w:fill="F7F5FC"/>
            <w:tcMar>
              <w:top w:w="200" w:type="dxa"/>
              <w:left w:w="260" w:type="dxa"/>
              <w:bottom w:w="200" w:type="dxa"/>
              <w:right w:w="260" w:type="dxa"/>
            </w:tcMar>
          </w:tcPr>
          <w:p w:rsidR="004421DC" w:rsidRDefault="00D479E8" w14:paraId="5842EC73" w14:textId="77777777">
            <w:pPr>
              <w:spacing w:after="80"/>
            </w:pPr>
            <w:r>
              <w:rPr>
                <w:b/>
                <w:bCs/>
                <w:color w:val="6B7280"/>
                <w:spacing w:val="12"/>
                <w:sz w:val="16"/>
                <w:szCs w:val="16"/>
              </w:rPr>
              <w:t>CODM'S PERSPECTIVE</w:t>
            </w:r>
          </w:p>
          <w:p w:rsidR="004421DC" w:rsidRDefault="00D479E8" w14:paraId="1521E35A" w14:textId="77777777">
            <w:pPr>
              <w:spacing w:line="300" w:lineRule="auto"/>
            </w:pPr>
            <w:r>
              <w:t>The definitions conversation is the one clients most want to skip, and the one we push hardest to keep. It's where the real disagreement in an organisation surfaces for the first time. Sort that out and the rest tends to follow on its own.</w:t>
            </w:r>
          </w:p>
        </w:tc>
      </w:tr>
    </w:tbl>
    <w:p w:rsidR="004421DC" w:rsidRDefault="00D479E8" w14:paraId="6BD18F9B" w14:textId="77777777">
      <w:r>
        <w:br w:type="page"/>
      </w:r>
    </w:p>
    <w:p w:rsidR="004421DC" w:rsidRDefault="00D479E8" w14:paraId="1807F621" w14:textId="77777777">
      <w:pPr>
        <w:spacing w:after="100"/>
      </w:pPr>
      <w:r>
        <w:rPr>
          <w:b/>
          <w:bCs/>
          <w:color w:val="8754E9"/>
          <w:spacing w:val="20"/>
          <w:sz w:val="16"/>
          <w:szCs w:val="16"/>
        </w:rPr>
        <w:t>WHAT GOES WRONG</w:t>
      </w:r>
    </w:p>
    <w:p w:rsidR="004421DC" w:rsidRDefault="00D479E8" w14:paraId="5A3B04D9" w14:textId="77777777">
      <w:pPr>
        <w:spacing w:after="60"/>
      </w:pPr>
      <w:r>
        <w:rPr>
          <w:b/>
          <w:bCs/>
          <w:sz w:val="36"/>
          <w:szCs w:val="36"/>
        </w:rPr>
        <w:t>Why these projects usually fail</w:t>
      </w:r>
    </w:p>
    <w:tbl>
      <w:tblPr>
        <w:tblW w:w="90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0"/>
      </w:tblGrid>
      <w:tr w:rsidR="004421DC" w14:paraId="238601FE" w14:textId="77777777">
        <w:tblPrEx>
          <w:tblCellMar>
            <w:top w:w="0" w:type="dxa"/>
            <w:bottom w:w="0" w:type="dxa"/>
          </w:tblCellMar>
        </w:tblPrEx>
        <w:trPr>
          <w:trHeight w:val="50" w:hRule="exact"/>
        </w:trPr>
        <w:tc>
          <w:tcPr>
            <w:tcW w:w="900" w:type="dxa"/>
            <w:tcBorders>
              <w:top w:val="none" w:color="FFFFFF" w:sz="0" w:space="0"/>
              <w:left w:val="none" w:color="FFFFFF" w:sz="0" w:space="0"/>
              <w:bottom w:val="none" w:color="FFFFFF" w:sz="0" w:space="0"/>
              <w:right w:val="none" w:color="FFFFFF" w:sz="0" w:space="0"/>
            </w:tcBorders>
            <w:shd w:val="clear" w:color="auto" w:fill="8754E9"/>
          </w:tcPr>
          <w:p w:rsidR="004421DC" w:rsidRDefault="004421DC" w14:paraId="0F3CABC7" w14:textId="77777777"/>
        </w:tc>
      </w:tr>
    </w:tbl>
    <w:p w:rsidR="004421DC" w:rsidRDefault="004421DC" w14:paraId="5B08B5D1" w14:textId="77777777">
      <w:pPr>
        <w:spacing w:after="140"/>
      </w:pPr>
    </w:p>
    <w:p w:rsidR="004421DC" w:rsidRDefault="00D479E8" w14:paraId="35656060" w14:textId="77777777">
      <w:pPr>
        <w:spacing w:after="160" w:line="300" w:lineRule="auto"/>
      </w:pPr>
      <w:r>
        <w:t>Most of what's written about failed projects is written by people who weren't in the room. What follows are two patterns we've watched happen more than once.</w:t>
      </w:r>
    </w:p>
    <w:p w:rsidR="004421DC" w:rsidRDefault="00D479E8" w14:paraId="3B850B14" w14:textId="77777777">
      <w:pPr>
        <w:spacing w:before="100" w:after="100"/>
      </w:pPr>
      <w:r>
        <w:rPr>
          <w:b/>
          <w:bCs/>
          <w:sz w:val="25"/>
          <w:szCs w:val="25"/>
        </w:rPr>
        <w:t>The one that had to be fast</w:t>
      </w:r>
    </w:p>
    <w:p w:rsidR="004421DC" w:rsidRDefault="00D479E8" w14:paraId="128A9A69" w14:textId="77777777">
      <w:pPr>
        <w:spacing w:after="160" w:line="300" w:lineRule="auto"/>
      </w:pPr>
      <w:r>
        <w:t>A mid-sized company set a one-quarter deadline, driven by a board wanting to see progress. To hit it, the vendor skipped almost everything not strictly necessary: process design compressed into a single workshop, training a one-hour session nobody rewatched, data migrated in a hurry.</w:t>
      </w:r>
    </w:p>
    <w:p w:rsidR="004421DC" w:rsidRDefault="00D479E8" w14:paraId="249E2CD5" w14:textId="77777777">
      <w:pPr>
        <w:spacing w:after="160" w:line="300" w:lineRule="auto"/>
      </w:pPr>
      <w:r>
        <w:t>The system went live on time. Three months later, fewer than a third of the people meant to use it actually did, because it didn't match how they really worked. Fixing it afterwards cost close to five times more than doing it properly would have.</w:t>
      </w:r>
    </w:p>
    <w:p w:rsidR="004421DC" w:rsidRDefault="00D479E8" w14:paraId="669772FB" w14:textId="77777777">
      <w:pPr>
        <w:spacing w:after="160" w:line="300" w:lineRule="auto"/>
      </w:pPr>
      <w:r>
        <w:t>The lesson: the fast way to fail is treating go-live as the finish line. Going live is the easy part.</w:t>
      </w:r>
    </w:p>
    <w:p w:rsidR="004421DC" w:rsidRDefault="00D479E8" w14:paraId="4F515880" w14:textId="77777777">
      <w:pPr>
        <w:spacing w:before="100" w:after="100"/>
      </w:pPr>
      <w:r>
        <w:rPr>
          <w:b/>
          <w:bCs/>
          <w:sz w:val="25"/>
          <w:szCs w:val="25"/>
        </w:rPr>
        <w:t>The one that tried to do everything</w:t>
      </w:r>
    </w:p>
    <w:p w:rsidR="004421DC" w:rsidRDefault="00D479E8" w14:paraId="1D596396" w14:textId="77777777">
      <w:pPr>
        <w:spacing w:after="160" w:line="300" w:lineRule="auto"/>
      </w:pPr>
      <w:r>
        <w:t>A larger organisation went the opposite way: ambitious brief, generous budget, a vendor happy to build whatever was asked. The list of custom features grew past what anyone could track, because every stakeholder added something and nobody was told no.</w:t>
      </w:r>
    </w:p>
    <w:p w:rsidR="004421DC" w:rsidRDefault="00D479E8" w14:paraId="39990B59" w14:textId="77777777">
      <w:pPr>
        <w:spacing w:after="160" w:line="300" w:lineRule="auto"/>
      </w:pPr>
      <w:r>
        <w:t>Eighteen months later the system did exactly what was specified. It was also slow and expensive to change, and well under half of what was built was actually used. Nobody had been ruthless early on about what mattered.</w:t>
      </w:r>
    </w:p>
    <w:p w:rsidR="004421DC" w:rsidRDefault="00D479E8" w14:paraId="16238A0B" w14:textId="77777777">
      <w:pPr>
        <w:spacing w:after="160" w:line="300" w:lineRule="auto"/>
      </w:pPr>
      <w:r>
        <w:t>The lesson runs the other way: more isn't safer. A system built to do everything usually does nothing particularly well.</w:t>
      </w:r>
    </w:p>
    <w:p w:rsidR="004421DC" w:rsidRDefault="004421DC" w14:paraId="16DEB4AB" w14:textId="77777777">
      <w:pPr>
        <w:spacing w:after="140"/>
      </w:pPr>
    </w:p>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835"/>
      </w:tblGrid>
      <w:tr w:rsidR="004421DC" w14:paraId="19B8481D" w14:textId="77777777">
        <w:tblPrEx>
          <w:tblCellMar>
            <w:top w:w="0" w:type="dxa"/>
            <w:bottom w:w="0" w:type="dxa"/>
          </w:tblCellMar>
        </w:tblPrEx>
        <w:trPr>
          <w:cantSplit/>
        </w:trPr>
        <w:tc>
          <w:tcPr>
            <w:tcW w:w="5000" w:type="pct"/>
            <w:tcBorders>
              <w:top w:val="none" w:color="FFFFFF" w:sz="0" w:space="0"/>
              <w:left w:val="single" w:color="8754E9" w:sz="24" w:space="0"/>
              <w:bottom w:val="none" w:color="FFFFFF" w:sz="0" w:space="0"/>
              <w:right w:val="none" w:color="FFFFFF" w:sz="0" w:space="0"/>
            </w:tcBorders>
            <w:shd w:val="clear" w:color="auto" w:fill="F7F5FC"/>
            <w:tcMar>
              <w:top w:w="200" w:type="dxa"/>
              <w:left w:w="260" w:type="dxa"/>
              <w:bottom w:w="200" w:type="dxa"/>
              <w:right w:w="260" w:type="dxa"/>
            </w:tcMar>
          </w:tcPr>
          <w:p w:rsidR="004421DC" w:rsidRDefault="00D479E8" w14:paraId="22B6E017" w14:textId="77777777">
            <w:pPr>
              <w:spacing w:after="80"/>
            </w:pPr>
            <w:r>
              <w:rPr>
                <w:b/>
                <w:bCs/>
                <w:color w:val="6B7280"/>
                <w:spacing w:val="12"/>
                <w:sz w:val="16"/>
                <w:szCs w:val="16"/>
              </w:rPr>
              <w:t>CODM'S PERSPECTIVE</w:t>
            </w:r>
          </w:p>
          <w:p w:rsidR="004421DC" w:rsidRDefault="00D479E8" w14:paraId="23B3A87C" w14:textId="77777777">
            <w:pPr>
              <w:spacing w:line="300" w:lineRule="auto"/>
            </w:pPr>
            <w:r>
              <w:t>Neither is really a technology problem. The first comes from mistaking speed for progress, the second from mistaking generosity for good judgement. We build checkpoints for both: deadlines that protect the process, and a rule that every feature justifies itself against an outcome before it's built, not after.</w:t>
            </w:r>
          </w:p>
        </w:tc>
      </w:tr>
    </w:tbl>
    <w:p w:rsidR="004421DC" w:rsidRDefault="00D479E8" w14:paraId="0AD9C6F4" w14:textId="77777777">
      <w:r>
        <w:br w:type="page"/>
      </w:r>
    </w:p>
    <w:p w:rsidR="004421DC" w:rsidRDefault="00D479E8" w14:paraId="396B66A3" w14:textId="77777777">
      <w:pPr>
        <w:spacing w:after="100"/>
      </w:pPr>
      <w:r>
        <w:rPr>
          <w:b/>
          <w:bCs/>
          <w:color w:val="8754E9"/>
          <w:spacing w:val="20"/>
          <w:sz w:val="16"/>
          <w:szCs w:val="16"/>
        </w:rPr>
        <w:t>FIRST 90 DAYS</w:t>
      </w:r>
    </w:p>
    <w:p w:rsidR="004421DC" w:rsidRDefault="00D479E8" w14:paraId="5BBBD24F" w14:textId="77777777">
      <w:pPr>
        <w:spacing w:after="60"/>
      </w:pPr>
      <w:r>
        <w:rPr>
          <w:b/>
          <w:bCs/>
          <w:sz w:val="36"/>
          <w:szCs w:val="36"/>
        </w:rPr>
        <w:t>Your first 90 days: proving it works</w:t>
      </w:r>
    </w:p>
    <w:tbl>
      <w:tblPr>
        <w:tblW w:w="90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0"/>
      </w:tblGrid>
      <w:tr w:rsidR="004421DC" w14:paraId="4B1F511A" w14:textId="77777777">
        <w:tblPrEx>
          <w:tblCellMar>
            <w:top w:w="0" w:type="dxa"/>
            <w:bottom w:w="0" w:type="dxa"/>
          </w:tblCellMar>
        </w:tblPrEx>
        <w:trPr>
          <w:trHeight w:val="50" w:hRule="exact"/>
        </w:trPr>
        <w:tc>
          <w:tcPr>
            <w:tcW w:w="900" w:type="dxa"/>
            <w:tcBorders>
              <w:top w:val="none" w:color="FFFFFF" w:sz="0" w:space="0"/>
              <w:left w:val="none" w:color="FFFFFF" w:sz="0" w:space="0"/>
              <w:bottom w:val="none" w:color="FFFFFF" w:sz="0" w:space="0"/>
              <w:right w:val="none" w:color="FFFFFF" w:sz="0" w:space="0"/>
            </w:tcBorders>
            <w:shd w:val="clear" w:color="auto" w:fill="8754E9"/>
          </w:tcPr>
          <w:p w:rsidR="004421DC" w:rsidRDefault="004421DC" w14:paraId="65F9C3DC" w14:textId="77777777"/>
        </w:tc>
      </w:tr>
    </w:tbl>
    <w:p w:rsidR="004421DC" w:rsidRDefault="004421DC" w14:paraId="5023141B" w14:textId="77777777">
      <w:pPr>
        <w:spacing w:after="140"/>
      </w:pPr>
    </w:p>
    <w:p w:rsidR="004421DC" w:rsidRDefault="00D479E8" w14:paraId="2F0D972F" w14:textId="77777777">
      <w:pPr>
        <w:spacing w:after="160" w:line="300" w:lineRule="auto"/>
      </w:pPr>
      <w:r>
        <w:t>Nobody has to take our word for any of this. The right way to start usually isn't a twelve-month programme, it's something small enough to finish in weeks that proves the direction is right before committing to the rest.</w:t>
      </w:r>
    </w:p>
    <w:p w:rsidR="004421DC" w:rsidRDefault="00D479E8" w14:paraId="10EC50E3" w14:textId="77777777">
      <w:pPr>
        <w:spacing w:after="140" w:line="300" w:lineRule="auto"/>
      </w:pPr>
      <w:r>
        <w:t>Two things tend to work best as a first move: contained, not dependent on anything else being fixed first, and obvious enough that nobody has to squint to see the result.</w:t>
      </w:r>
    </w:p>
    <w:p w:rsidR="004421DC" w:rsidRDefault="00D479E8" w14:paraId="3F60608A" w14:textId="77777777">
      <w:pPr>
        <w:spacing w:before="100" w:after="100"/>
      </w:pPr>
      <w:r>
        <w:rPr>
          <w:b/>
          <w:bCs/>
          <w:sz w:val="25"/>
          <w:szCs w:val="25"/>
        </w:rPr>
        <w:t>Getting one version of the truth</w:t>
      </w:r>
    </w:p>
    <w:p w:rsidR="004421DC" w:rsidRDefault="00D479E8" w14:paraId="3FB6C7E7" w14:textId="77777777">
      <w:pPr>
        <w:spacing w:after="160" w:line="300" w:lineRule="auto"/>
      </w:pPr>
      <w:r>
        <w:t>Pull whatever's scattered across spreadsheets and half-trusted systems into one place, and build a single dashboard nobody has to argue with. Typically two to three weeks. The change is immediate: a question that used to mean waiting for a report gets answered on the spot.</w:t>
      </w:r>
    </w:p>
    <w:p w:rsidR="004421DC" w:rsidRDefault="00D479E8" w14:paraId="67CE19D4" w14:textId="77777777">
      <w:pPr>
        <w:spacing w:before="100" w:after="100"/>
      </w:pPr>
      <w:r>
        <w:rPr>
          <w:b/>
          <w:bCs/>
          <w:sz w:val="25"/>
          <w:szCs w:val="25"/>
        </w:rPr>
        <w:t>Automating the thing everyone complains about</w:t>
      </w:r>
    </w:p>
    <w:p w:rsidR="004421DC" w:rsidRDefault="00D479E8" w14:paraId="55D1BDA2" w14:textId="77777777">
      <w:pPr>
        <w:spacing w:after="160" w:line="300" w:lineRule="auto"/>
      </w:pPr>
      <w:r>
        <w:t>Pick whichever manual process gets complained about most and automate just that one thing. Not a full rebuild, just the one piece of friction that costs the most patience. Because everyone already agreed it was a problem, nobody needs convincing the fix was worth it.</w:t>
      </w:r>
    </w:p>
    <w:p w:rsidR="004421DC" w:rsidRDefault="00D479E8" w14:paraId="6249CF1B" w14:textId="77777777">
      <w:pPr>
        <w:spacing w:after="160" w:line="300" w:lineRule="auto"/>
      </w:pPr>
      <w:r>
        <w:t>Run both in the same ninety days and you end up with a working example, paid for out of a fairly small budget, that the rest of the organisation can see and judge for itself.</w:t>
      </w:r>
    </w:p>
    <w:p w:rsidR="004421DC" w:rsidRDefault="004421DC" w14:paraId="1F3B1409" w14:textId="77777777">
      <w:pPr>
        <w:spacing w:after="140"/>
      </w:pPr>
    </w:p>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835"/>
      </w:tblGrid>
      <w:tr w:rsidR="004421DC" w14:paraId="1485EE44" w14:textId="77777777">
        <w:tblPrEx>
          <w:tblCellMar>
            <w:top w:w="0" w:type="dxa"/>
            <w:bottom w:w="0" w:type="dxa"/>
          </w:tblCellMar>
        </w:tblPrEx>
        <w:trPr>
          <w:cantSplit/>
        </w:trPr>
        <w:tc>
          <w:tcPr>
            <w:tcW w:w="5000" w:type="pct"/>
            <w:tcBorders>
              <w:top w:val="none" w:color="FFFFFF" w:sz="0" w:space="0"/>
              <w:left w:val="single" w:color="8754E9" w:sz="24" w:space="0"/>
              <w:bottom w:val="none" w:color="FFFFFF" w:sz="0" w:space="0"/>
              <w:right w:val="none" w:color="FFFFFF" w:sz="0" w:space="0"/>
            </w:tcBorders>
            <w:shd w:val="clear" w:color="auto" w:fill="F7F5FC"/>
            <w:tcMar>
              <w:top w:w="200" w:type="dxa"/>
              <w:left w:w="260" w:type="dxa"/>
              <w:bottom w:w="200" w:type="dxa"/>
              <w:right w:w="260" w:type="dxa"/>
            </w:tcMar>
          </w:tcPr>
          <w:p w:rsidR="004421DC" w:rsidRDefault="00D479E8" w14:paraId="59DDE457" w14:textId="77777777">
            <w:pPr>
              <w:spacing w:after="80"/>
            </w:pPr>
            <w:r>
              <w:rPr>
                <w:b/>
                <w:bCs/>
                <w:color w:val="6B7280"/>
                <w:spacing w:val="12"/>
                <w:sz w:val="16"/>
                <w:szCs w:val="16"/>
              </w:rPr>
              <w:t>CODM'S PERSPECTIVE</w:t>
            </w:r>
          </w:p>
          <w:p w:rsidR="004421DC" w:rsidRDefault="00D479E8" w14:paraId="287E375D" w14:textId="77777777">
            <w:pPr>
              <w:spacing w:line="300" w:lineRule="auto"/>
            </w:pPr>
            <w:r>
              <w:t>We'd rather spend six weeks proving something small than six months promising something large. A client who's seen one real result trusts the next ten times more than a slide ever could.</w:t>
            </w:r>
          </w:p>
        </w:tc>
      </w:tr>
    </w:tbl>
    <w:p w:rsidR="004421DC" w:rsidRDefault="00D479E8" w14:paraId="562C75D1" w14:textId="77777777">
      <w:r>
        <w:br w:type="page"/>
      </w:r>
    </w:p>
    <w:p w:rsidR="004421DC" w:rsidRDefault="00D479E8" w14:paraId="2F303641" w14:textId="77777777">
      <w:pPr>
        <w:spacing w:after="100"/>
      </w:pPr>
      <w:r>
        <w:rPr>
          <w:b/>
          <w:bCs/>
          <w:color w:val="8754E9"/>
          <w:spacing w:val="20"/>
          <w:sz w:val="16"/>
          <w:szCs w:val="16"/>
        </w:rPr>
        <w:t>GETTING STARTED</w:t>
      </w:r>
    </w:p>
    <w:p w:rsidR="004421DC" w:rsidRDefault="00D479E8" w14:paraId="02903EAE" w14:textId="77777777">
      <w:pPr>
        <w:spacing w:after="60"/>
      </w:pPr>
      <w:r>
        <w:rPr>
          <w:b/>
          <w:bCs/>
          <w:sz w:val="36"/>
          <w:szCs w:val="36"/>
        </w:rPr>
        <w:t>Your first six months</w:t>
      </w:r>
    </w:p>
    <w:tbl>
      <w:tblPr>
        <w:tblW w:w="90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0"/>
      </w:tblGrid>
      <w:tr w:rsidR="004421DC" w14:paraId="664355AD" w14:textId="77777777">
        <w:tblPrEx>
          <w:tblCellMar>
            <w:top w:w="0" w:type="dxa"/>
            <w:bottom w:w="0" w:type="dxa"/>
          </w:tblCellMar>
        </w:tblPrEx>
        <w:trPr>
          <w:trHeight w:val="50" w:hRule="exact"/>
        </w:trPr>
        <w:tc>
          <w:tcPr>
            <w:tcW w:w="900" w:type="dxa"/>
            <w:tcBorders>
              <w:top w:val="none" w:color="FFFFFF" w:sz="0" w:space="0"/>
              <w:left w:val="none" w:color="FFFFFF" w:sz="0" w:space="0"/>
              <w:bottom w:val="none" w:color="FFFFFF" w:sz="0" w:space="0"/>
              <w:right w:val="none" w:color="FFFFFF" w:sz="0" w:space="0"/>
            </w:tcBorders>
            <w:shd w:val="clear" w:color="auto" w:fill="8754E9"/>
          </w:tcPr>
          <w:p w:rsidR="004421DC" w:rsidRDefault="004421DC" w14:paraId="1A965116" w14:textId="77777777"/>
        </w:tc>
      </w:tr>
    </w:tbl>
    <w:p w:rsidR="004421DC" w:rsidRDefault="004421DC" w14:paraId="7DF4E37C" w14:textId="77777777">
      <w:pPr>
        <w:spacing w:after="140"/>
      </w:pPr>
    </w:p>
    <w:p w:rsidR="004421DC" w:rsidP="7068594A" w:rsidRDefault="004421DC" w14:paraId="44FB30F8" w14:textId="6CFE1526">
      <w:pPr>
        <w:spacing w:after="160" w:line="300" w:lineRule="auto"/>
      </w:pPr>
      <w:r w:rsidR="00D479E8">
        <w:rPr/>
        <w:t xml:space="preserve">Six months is a genuine estimate for getting from a standing start to a live, adopted system. This is </w:t>
      </w:r>
      <w:r w:rsidR="00D479E8">
        <w:rPr/>
        <w:t>roughly what</w:t>
      </w:r>
      <w:r w:rsidR="00D479E8">
        <w:rPr/>
        <w:t xml:space="preserve"> it looks like, month by month.</w:t>
      </w:r>
    </w:p>
    <w:tbl>
      <w:tblPr>
        <w:tblW w:w="9865" w:type="dxa"/>
        <w:tblInd w:w="-3" w:type="dxa"/>
        <w:tblBorders>
          <w:top w:val="single" w:color="E5E7EB" w:sz="4" w:space="0"/>
          <w:left w:val="single" w:color="E5E7EB" w:sz="4" w:space="0"/>
          <w:bottom w:val="single" w:color="E5E7EB" w:sz="4" w:space="0"/>
          <w:right w:val="single" w:color="E5E7EB" w:sz="4" w:space="0"/>
          <w:insideH w:val="single" w:color="E5E7EB" w:sz="4" w:space="0"/>
          <w:insideV w:val="single" w:color="E5E7EB" w:sz="4" w:space="0"/>
        </w:tblBorders>
        <w:tblCellMar>
          <w:left w:w="10" w:type="dxa"/>
          <w:right w:w="10" w:type="dxa"/>
        </w:tblCellMar>
        <w:tblLook w:val="04A0" w:firstRow="1" w:lastRow="0" w:firstColumn="1" w:lastColumn="0" w:noHBand="0" w:noVBand="1"/>
      </w:tblPr>
      <w:tblGrid>
        <w:gridCol w:w="1800"/>
        <w:gridCol w:w="4200"/>
        <w:gridCol w:w="3865"/>
      </w:tblGrid>
      <w:tr w:rsidR="004421DC" w14:paraId="704BB4FF" w14:textId="77777777">
        <w:tblPrEx>
          <w:tblCellMar>
            <w:top w:w="0" w:type="dxa"/>
            <w:bottom w:w="0" w:type="dxa"/>
          </w:tblCellMar>
        </w:tblPrEx>
        <w:trPr>
          <w:cantSplit/>
          <w:tblHeader/>
        </w:trPr>
        <w:tc>
          <w:tcPr>
            <w:tcW w:w="1800" w:type="dxa"/>
            <w:shd w:val="clear" w:color="auto" w:fill="8754E9"/>
            <w:tcMar>
              <w:top w:w="130" w:type="dxa"/>
              <w:left w:w="150" w:type="dxa"/>
              <w:bottom w:w="130" w:type="dxa"/>
              <w:right w:w="150" w:type="dxa"/>
            </w:tcMar>
            <w:vAlign w:val="center"/>
          </w:tcPr>
          <w:p w:rsidR="004421DC" w:rsidRDefault="00D479E8" w14:paraId="2BFBA9EE" w14:textId="77777777">
            <w:r>
              <w:rPr>
                <w:b/>
                <w:bCs/>
                <w:color w:val="FFFFFF"/>
                <w:spacing w:val="5"/>
                <w:sz w:val="17"/>
                <w:szCs w:val="17"/>
              </w:rPr>
              <w:t>MONTH</w:t>
            </w:r>
          </w:p>
        </w:tc>
        <w:tc>
          <w:tcPr>
            <w:tcW w:w="4200" w:type="dxa"/>
            <w:shd w:val="clear" w:color="auto" w:fill="8754E9"/>
            <w:tcMar>
              <w:top w:w="130" w:type="dxa"/>
              <w:left w:w="150" w:type="dxa"/>
              <w:bottom w:w="130" w:type="dxa"/>
              <w:right w:w="150" w:type="dxa"/>
            </w:tcMar>
            <w:vAlign w:val="center"/>
          </w:tcPr>
          <w:p w:rsidR="004421DC" w:rsidRDefault="00D479E8" w14:paraId="1507F321" w14:textId="77777777">
            <w:r>
              <w:rPr>
                <w:b/>
                <w:bCs/>
                <w:color w:val="FFFFFF"/>
                <w:spacing w:val="5"/>
                <w:sz w:val="17"/>
                <w:szCs w:val="17"/>
              </w:rPr>
              <w:t>FOCUS</w:t>
            </w:r>
          </w:p>
        </w:tc>
        <w:tc>
          <w:tcPr>
            <w:tcW w:w="3865" w:type="dxa"/>
            <w:shd w:val="clear" w:color="auto" w:fill="8754E9"/>
            <w:tcMar>
              <w:top w:w="130" w:type="dxa"/>
              <w:left w:w="150" w:type="dxa"/>
              <w:bottom w:w="130" w:type="dxa"/>
              <w:right w:w="150" w:type="dxa"/>
            </w:tcMar>
            <w:vAlign w:val="center"/>
          </w:tcPr>
          <w:p w:rsidR="004421DC" w:rsidRDefault="00D479E8" w14:paraId="20124666" w14:textId="77777777">
            <w:r>
              <w:rPr>
                <w:b/>
                <w:bCs/>
                <w:color w:val="FFFFFF"/>
                <w:spacing w:val="5"/>
                <w:sz w:val="17"/>
                <w:szCs w:val="17"/>
              </w:rPr>
              <w:t>WHAT YOU'LL HAVE</w:t>
            </w:r>
          </w:p>
        </w:tc>
      </w:tr>
      <w:tr w:rsidR="004421DC" w14:paraId="6056F5D2" w14:textId="77777777">
        <w:tblPrEx>
          <w:tblCellMar>
            <w:top w:w="0" w:type="dxa"/>
            <w:bottom w:w="0" w:type="dxa"/>
          </w:tblCellMar>
        </w:tblPrEx>
        <w:trPr>
          <w:cantSplit/>
        </w:trPr>
        <w:tc>
          <w:tcPr>
            <w:tcW w:w="1800" w:type="dxa"/>
            <w:tcMar>
              <w:top w:w="140" w:type="dxa"/>
              <w:left w:w="150" w:type="dxa"/>
              <w:bottom w:w="140" w:type="dxa"/>
              <w:right w:w="150" w:type="dxa"/>
            </w:tcMar>
            <w:vAlign w:val="center"/>
          </w:tcPr>
          <w:p w:rsidR="004421DC" w:rsidRDefault="00D479E8" w14:paraId="4A8AE49B" w14:textId="77777777">
            <w:pPr>
              <w:spacing w:line="260" w:lineRule="auto"/>
            </w:pPr>
            <w:r>
              <w:rPr>
                <w:b/>
                <w:bCs/>
                <w:color w:val="8754E9"/>
                <w:sz w:val="20"/>
                <w:szCs w:val="20"/>
              </w:rPr>
              <w:t>Month 1</w:t>
            </w:r>
          </w:p>
        </w:tc>
        <w:tc>
          <w:tcPr>
            <w:tcW w:w="4200" w:type="dxa"/>
            <w:tcMar>
              <w:top w:w="140" w:type="dxa"/>
              <w:left w:w="150" w:type="dxa"/>
              <w:bottom w:w="140" w:type="dxa"/>
              <w:right w:w="150" w:type="dxa"/>
            </w:tcMar>
            <w:vAlign w:val="center"/>
          </w:tcPr>
          <w:p w:rsidR="004421DC" w:rsidRDefault="00D479E8" w14:paraId="67D4286A" w14:textId="77777777">
            <w:pPr>
              <w:spacing w:line="260" w:lineRule="auto"/>
            </w:pPr>
            <w:r>
              <w:rPr>
                <w:color w:val="6B7280"/>
                <w:sz w:val="20"/>
                <w:szCs w:val="20"/>
              </w:rPr>
              <w:t>Agreeing what actually matters, and an honest look at where things stand today.</w:t>
            </w:r>
          </w:p>
        </w:tc>
        <w:tc>
          <w:tcPr>
            <w:tcW w:w="3865" w:type="dxa"/>
            <w:tcMar>
              <w:top w:w="140" w:type="dxa"/>
              <w:left w:w="150" w:type="dxa"/>
              <w:bottom w:w="140" w:type="dxa"/>
              <w:right w:w="150" w:type="dxa"/>
            </w:tcMar>
            <w:vAlign w:val="center"/>
          </w:tcPr>
          <w:p w:rsidR="004421DC" w:rsidRDefault="00D479E8" w14:paraId="22010CD1" w14:textId="77777777">
            <w:pPr>
              <w:spacing w:line="260" w:lineRule="auto"/>
            </w:pPr>
            <w:r>
              <w:rPr>
                <w:sz w:val="20"/>
                <w:szCs w:val="20"/>
              </w:rPr>
              <w:t>A plan everyone has signed off on.</w:t>
            </w:r>
          </w:p>
        </w:tc>
      </w:tr>
      <w:tr w:rsidR="004421DC" w14:paraId="41698211" w14:textId="77777777">
        <w:tblPrEx>
          <w:tblCellMar>
            <w:top w:w="0" w:type="dxa"/>
            <w:bottom w:w="0" w:type="dxa"/>
          </w:tblCellMar>
        </w:tblPrEx>
        <w:trPr>
          <w:cantSplit/>
        </w:trPr>
        <w:tc>
          <w:tcPr>
            <w:tcW w:w="1800" w:type="dxa"/>
            <w:tcMar>
              <w:top w:w="140" w:type="dxa"/>
              <w:left w:w="150" w:type="dxa"/>
              <w:bottom w:w="140" w:type="dxa"/>
              <w:right w:w="150" w:type="dxa"/>
            </w:tcMar>
            <w:vAlign w:val="center"/>
          </w:tcPr>
          <w:p w:rsidR="004421DC" w:rsidRDefault="00D479E8" w14:paraId="674FCEAF" w14:textId="77777777">
            <w:pPr>
              <w:spacing w:line="260" w:lineRule="auto"/>
            </w:pPr>
            <w:r>
              <w:rPr>
                <w:b/>
                <w:bCs/>
                <w:color w:val="8754E9"/>
                <w:sz w:val="20"/>
                <w:szCs w:val="20"/>
              </w:rPr>
              <w:t>Month 2</w:t>
            </w:r>
          </w:p>
        </w:tc>
        <w:tc>
          <w:tcPr>
            <w:tcW w:w="4200" w:type="dxa"/>
            <w:tcMar>
              <w:top w:w="140" w:type="dxa"/>
              <w:left w:w="150" w:type="dxa"/>
              <w:bottom w:w="140" w:type="dxa"/>
              <w:right w:w="150" w:type="dxa"/>
            </w:tcMar>
            <w:vAlign w:val="center"/>
          </w:tcPr>
          <w:p w:rsidR="004421DC" w:rsidRDefault="00D479E8" w14:paraId="6E1DB589" w14:textId="77777777">
            <w:pPr>
              <w:spacing w:line="260" w:lineRule="auto"/>
            </w:pPr>
            <w:r>
              <w:rPr>
                <w:color w:val="6B7280"/>
                <w:sz w:val="20"/>
                <w:szCs w:val="20"/>
              </w:rPr>
              <w:t>Mapping how work really happens now, and designing how it should happen instead.</w:t>
            </w:r>
          </w:p>
        </w:tc>
        <w:tc>
          <w:tcPr>
            <w:tcW w:w="3865" w:type="dxa"/>
            <w:tcMar>
              <w:top w:w="140" w:type="dxa"/>
              <w:left w:w="150" w:type="dxa"/>
              <w:bottom w:w="140" w:type="dxa"/>
              <w:right w:w="150" w:type="dxa"/>
            </w:tcMar>
            <w:vAlign w:val="center"/>
          </w:tcPr>
          <w:p w:rsidR="004421DC" w:rsidRDefault="00D479E8" w14:paraId="230E5890" w14:textId="77777777">
            <w:pPr>
              <w:spacing w:line="260" w:lineRule="auto"/>
            </w:pPr>
            <w:r>
              <w:rPr>
                <w:sz w:val="20"/>
                <w:szCs w:val="20"/>
              </w:rPr>
              <w:t>A design nobody's still arguing about.</w:t>
            </w:r>
          </w:p>
        </w:tc>
      </w:tr>
      <w:tr w:rsidR="004421DC" w14:paraId="720D6DBE" w14:textId="77777777">
        <w:tblPrEx>
          <w:tblCellMar>
            <w:top w:w="0" w:type="dxa"/>
            <w:bottom w:w="0" w:type="dxa"/>
          </w:tblCellMar>
        </w:tblPrEx>
        <w:trPr>
          <w:cantSplit/>
        </w:trPr>
        <w:tc>
          <w:tcPr>
            <w:tcW w:w="1800" w:type="dxa"/>
            <w:tcMar>
              <w:top w:w="140" w:type="dxa"/>
              <w:left w:w="150" w:type="dxa"/>
              <w:bottom w:w="140" w:type="dxa"/>
              <w:right w:w="150" w:type="dxa"/>
            </w:tcMar>
            <w:vAlign w:val="center"/>
          </w:tcPr>
          <w:p w:rsidR="004421DC" w:rsidRDefault="00D479E8" w14:paraId="466BD60F" w14:textId="77777777">
            <w:pPr>
              <w:spacing w:line="260" w:lineRule="auto"/>
            </w:pPr>
            <w:r>
              <w:rPr>
                <w:b/>
                <w:bCs/>
                <w:color w:val="8754E9"/>
                <w:sz w:val="20"/>
                <w:szCs w:val="20"/>
              </w:rPr>
              <w:t>Month 3</w:t>
            </w:r>
          </w:p>
        </w:tc>
        <w:tc>
          <w:tcPr>
            <w:tcW w:w="4200" w:type="dxa"/>
            <w:tcMar>
              <w:top w:w="140" w:type="dxa"/>
              <w:left w:w="150" w:type="dxa"/>
              <w:bottom w:w="140" w:type="dxa"/>
              <w:right w:w="150" w:type="dxa"/>
            </w:tcMar>
            <w:vAlign w:val="center"/>
          </w:tcPr>
          <w:p w:rsidR="004421DC" w:rsidRDefault="00D479E8" w14:paraId="341C45BB" w14:textId="77777777">
            <w:pPr>
              <w:spacing w:line="260" w:lineRule="auto"/>
            </w:pPr>
            <w:r>
              <w:rPr>
                <w:color w:val="6B7280"/>
                <w:sz w:val="20"/>
                <w:szCs w:val="20"/>
              </w:rPr>
              <w:t>Building and shipping the first quick win, chosen to prove the direction is right.</w:t>
            </w:r>
          </w:p>
        </w:tc>
        <w:tc>
          <w:tcPr>
            <w:tcW w:w="3865" w:type="dxa"/>
            <w:tcMar>
              <w:top w:w="140" w:type="dxa"/>
              <w:left w:w="150" w:type="dxa"/>
              <w:bottom w:w="140" w:type="dxa"/>
              <w:right w:w="150" w:type="dxa"/>
            </w:tcMar>
            <w:vAlign w:val="center"/>
          </w:tcPr>
          <w:p w:rsidR="004421DC" w:rsidRDefault="00D479E8" w14:paraId="46EC5ECF" w14:textId="77777777">
            <w:pPr>
              <w:spacing w:line="260" w:lineRule="auto"/>
            </w:pPr>
            <w:r>
              <w:rPr>
                <w:sz w:val="20"/>
                <w:szCs w:val="20"/>
              </w:rPr>
              <w:t>Proof, not promises.</w:t>
            </w:r>
          </w:p>
        </w:tc>
      </w:tr>
      <w:tr w:rsidR="004421DC" w14:paraId="58885FFD" w14:textId="77777777">
        <w:tblPrEx>
          <w:tblCellMar>
            <w:top w:w="0" w:type="dxa"/>
            <w:bottom w:w="0" w:type="dxa"/>
          </w:tblCellMar>
        </w:tblPrEx>
        <w:trPr>
          <w:cantSplit/>
        </w:trPr>
        <w:tc>
          <w:tcPr>
            <w:tcW w:w="1800" w:type="dxa"/>
            <w:tcMar>
              <w:top w:w="140" w:type="dxa"/>
              <w:left w:w="150" w:type="dxa"/>
              <w:bottom w:w="140" w:type="dxa"/>
              <w:right w:w="150" w:type="dxa"/>
            </w:tcMar>
            <w:vAlign w:val="center"/>
          </w:tcPr>
          <w:p w:rsidR="004421DC" w:rsidRDefault="00D479E8" w14:paraId="0D81F28A" w14:textId="77777777">
            <w:pPr>
              <w:spacing w:line="260" w:lineRule="auto"/>
            </w:pPr>
            <w:r>
              <w:rPr>
                <w:b/>
                <w:bCs/>
                <w:color w:val="8754E9"/>
                <w:sz w:val="20"/>
                <w:szCs w:val="20"/>
              </w:rPr>
              <w:t>Month 4</w:t>
            </w:r>
          </w:p>
        </w:tc>
        <w:tc>
          <w:tcPr>
            <w:tcW w:w="4200" w:type="dxa"/>
            <w:tcMar>
              <w:top w:w="140" w:type="dxa"/>
              <w:left w:w="150" w:type="dxa"/>
              <w:bottom w:w="140" w:type="dxa"/>
              <w:right w:w="150" w:type="dxa"/>
            </w:tcMar>
            <w:vAlign w:val="center"/>
          </w:tcPr>
          <w:p w:rsidR="004421DC" w:rsidRDefault="00D479E8" w14:paraId="40F6DBFC" w14:textId="77777777">
            <w:pPr>
              <w:spacing w:line="260" w:lineRule="auto"/>
            </w:pPr>
            <w:r>
              <w:rPr>
                <w:color w:val="6B7280"/>
                <w:sz w:val="20"/>
                <w:szCs w:val="20"/>
              </w:rPr>
              <w:t>The unglamorous middle: integrations, configuration, connecting the systems that matter.</w:t>
            </w:r>
          </w:p>
        </w:tc>
        <w:tc>
          <w:tcPr>
            <w:tcW w:w="3865" w:type="dxa"/>
            <w:tcMar>
              <w:top w:w="140" w:type="dxa"/>
              <w:left w:w="150" w:type="dxa"/>
              <w:bottom w:w="140" w:type="dxa"/>
              <w:right w:w="150" w:type="dxa"/>
            </w:tcMar>
            <w:vAlign w:val="center"/>
          </w:tcPr>
          <w:p w:rsidR="004421DC" w:rsidRDefault="00D479E8" w14:paraId="14BF5A93" w14:textId="77777777">
            <w:pPr>
              <w:spacing w:line="260" w:lineRule="auto"/>
            </w:pPr>
            <w:r>
              <w:rPr>
                <w:sz w:val="20"/>
                <w:szCs w:val="20"/>
              </w:rPr>
              <w:t>A system that's nearly ready, not yet trusted.</w:t>
            </w:r>
          </w:p>
        </w:tc>
      </w:tr>
      <w:tr w:rsidR="004421DC" w14:paraId="74CA44BD" w14:textId="77777777">
        <w:tblPrEx>
          <w:tblCellMar>
            <w:top w:w="0" w:type="dxa"/>
            <w:bottom w:w="0" w:type="dxa"/>
          </w:tblCellMar>
        </w:tblPrEx>
        <w:trPr>
          <w:cantSplit/>
        </w:trPr>
        <w:tc>
          <w:tcPr>
            <w:tcW w:w="1800" w:type="dxa"/>
            <w:tcMar>
              <w:top w:w="140" w:type="dxa"/>
              <w:left w:w="150" w:type="dxa"/>
              <w:bottom w:w="140" w:type="dxa"/>
              <w:right w:w="150" w:type="dxa"/>
            </w:tcMar>
            <w:vAlign w:val="center"/>
          </w:tcPr>
          <w:p w:rsidR="004421DC" w:rsidRDefault="00D479E8" w14:paraId="3CCEB498" w14:textId="77777777">
            <w:pPr>
              <w:spacing w:line="260" w:lineRule="auto"/>
            </w:pPr>
            <w:r>
              <w:rPr>
                <w:b/>
                <w:bCs/>
                <w:color w:val="8754E9"/>
                <w:sz w:val="20"/>
                <w:szCs w:val="20"/>
              </w:rPr>
              <w:t>Month 5</w:t>
            </w:r>
          </w:p>
        </w:tc>
        <w:tc>
          <w:tcPr>
            <w:tcW w:w="4200" w:type="dxa"/>
            <w:tcMar>
              <w:top w:w="140" w:type="dxa"/>
              <w:left w:w="150" w:type="dxa"/>
              <w:bottom w:w="140" w:type="dxa"/>
              <w:right w:w="150" w:type="dxa"/>
            </w:tcMar>
            <w:vAlign w:val="center"/>
          </w:tcPr>
          <w:p w:rsidR="004421DC" w:rsidRDefault="00D479E8" w14:paraId="16D86575" w14:textId="77777777">
            <w:pPr>
              <w:spacing w:line="260" w:lineRule="auto"/>
            </w:pPr>
            <w:r>
              <w:rPr>
                <w:color w:val="6B7280"/>
                <w:sz w:val="20"/>
                <w:szCs w:val="20"/>
              </w:rPr>
              <w:t>Training people on the new way of working, catching gaps before they get expensive.</w:t>
            </w:r>
          </w:p>
        </w:tc>
        <w:tc>
          <w:tcPr>
            <w:tcW w:w="3865" w:type="dxa"/>
            <w:tcMar>
              <w:top w:w="140" w:type="dxa"/>
              <w:left w:w="150" w:type="dxa"/>
              <w:bottom w:w="140" w:type="dxa"/>
              <w:right w:w="150" w:type="dxa"/>
            </w:tcMar>
            <w:vAlign w:val="center"/>
          </w:tcPr>
          <w:p w:rsidR="004421DC" w:rsidRDefault="00D479E8" w14:paraId="1D1921C9" w14:textId="77777777">
            <w:pPr>
              <w:spacing w:line="260" w:lineRule="auto"/>
            </w:pPr>
            <w:r>
              <w:rPr>
                <w:sz w:val="20"/>
                <w:szCs w:val="20"/>
              </w:rPr>
              <w:t>A team that's ready, not just a system that is.</w:t>
            </w:r>
          </w:p>
        </w:tc>
      </w:tr>
      <w:tr w:rsidR="004421DC" w14:paraId="472C4B37" w14:textId="77777777">
        <w:tblPrEx>
          <w:tblCellMar>
            <w:top w:w="0" w:type="dxa"/>
            <w:bottom w:w="0" w:type="dxa"/>
          </w:tblCellMar>
        </w:tblPrEx>
        <w:trPr>
          <w:cantSplit/>
        </w:trPr>
        <w:tc>
          <w:tcPr>
            <w:tcW w:w="1800" w:type="dxa"/>
            <w:tcMar>
              <w:top w:w="140" w:type="dxa"/>
              <w:left w:w="150" w:type="dxa"/>
              <w:bottom w:w="140" w:type="dxa"/>
              <w:right w:w="150" w:type="dxa"/>
            </w:tcMar>
            <w:vAlign w:val="center"/>
          </w:tcPr>
          <w:p w:rsidR="004421DC" w:rsidRDefault="00D479E8" w14:paraId="03D02ED7" w14:textId="77777777">
            <w:pPr>
              <w:spacing w:line="260" w:lineRule="auto"/>
            </w:pPr>
            <w:r>
              <w:rPr>
                <w:b/>
                <w:bCs/>
                <w:color w:val="8754E9"/>
                <w:sz w:val="20"/>
                <w:szCs w:val="20"/>
              </w:rPr>
              <w:t>Month 6</w:t>
            </w:r>
          </w:p>
        </w:tc>
        <w:tc>
          <w:tcPr>
            <w:tcW w:w="4200" w:type="dxa"/>
            <w:tcMar>
              <w:top w:w="140" w:type="dxa"/>
              <w:left w:w="150" w:type="dxa"/>
              <w:bottom w:w="140" w:type="dxa"/>
              <w:right w:w="150" w:type="dxa"/>
            </w:tcMar>
            <w:vAlign w:val="center"/>
          </w:tcPr>
          <w:p w:rsidR="004421DC" w:rsidRDefault="00D479E8" w14:paraId="5821D896" w14:textId="77777777">
            <w:pPr>
              <w:spacing w:line="260" w:lineRule="auto"/>
            </w:pPr>
            <w:r>
              <w:rPr>
                <w:color w:val="6B7280"/>
                <w:sz w:val="20"/>
                <w:szCs w:val="20"/>
              </w:rPr>
              <w:t>Going live, with support close by rather than a vendor who's already moved on.</w:t>
            </w:r>
          </w:p>
        </w:tc>
        <w:tc>
          <w:tcPr>
            <w:tcW w:w="3865" w:type="dxa"/>
            <w:tcMar>
              <w:top w:w="140" w:type="dxa"/>
              <w:left w:w="150" w:type="dxa"/>
              <w:bottom w:w="140" w:type="dxa"/>
              <w:right w:w="150" w:type="dxa"/>
            </w:tcMar>
            <w:vAlign w:val="center"/>
          </w:tcPr>
          <w:p w:rsidR="004421DC" w:rsidRDefault="00D479E8" w14:paraId="24AE8043" w14:textId="77777777">
            <w:pPr>
              <w:spacing w:line="260" w:lineRule="auto"/>
            </w:pPr>
            <w:r>
              <w:rPr>
                <w:sz w:val="20"/>
                <w:szCs w:val="20"/>
              </w:rPr>
              <w:t>Live, and actually being used.</w:t>
            </w:r>
          </w:p>
        </w:tc>
      </w:tr>
    </w:tbl>
    <w:p w:rsidR="004421DC" w:rsidRDefault="004421DC" w14:paraId="1DA6542E" w14:textId="77777777">
      <w:pPr>
        <w:spacing w:after="180"/>
      </w:pPr>
    </w:p>
    <w:p w:rsidR="004421DC" w:rsidRDefault="00D479E8" w14:paraId="12BBBFD6" w14:textId="77777777">
      <w:pPr>
        <w:spacing w:after="160" w:line="300" w:lineRule="auto"/>
      </w:pPr>
      <w:r>
        <w:t>Everyone touches this timeline differently. The sponsor mostly shows up at the start and at two moments after: seeing the month-three quick win, and reviewing the actual return once live. The department lead is more involved throughout, particularly in month two. Finance cares about month one, when the numbers get agreed, and month six onward, when they check whether the numbers held. Technical resource is busiest in months three and four.</w:t>
      </w:r>
    </w:p>
    <w:p w:rsidR="004421DC" w:rsidRDefault="00D479E8" w14:paraId="7457D4D2" w14:textId="77777777">
      <w:pPr>
        <w:spacing w:after="160" w:line="300" w:lineRule="auto"/>
      </w:pPr>
      <w:r>
        <w:t>None of this runs itself. Someone senior enough to decide needs to be genuinely available, and someone needs to own it day to day, rarely a good fit for a part-time addition to an existing job. Everyone else's time adds up to a few hours a week, concentrated in the design and training months.</w:t>
      </w:r>
    </w:p>
    <w:p w:rsidR="004421DC" w:rsidRDefault="004421DC" w14:paraId="3041E394" w14:textId="77777777">
      <w:pPr>
        <w:spacing w:after="140"/>
      </w:pPr>
    </w:p>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835"/>
      </w:tblGrid>
      <w:tr w:rsidR="004421DC" w14:paraId="3388C0F5" w14:textId="77777777">
        <w:tblPrEx>
          <w:tblCellMar>
            <w:top w:w="0" w:type="dxa"/>
            <w:bottom w:w="0" w:type="dxa"/>
          </w:tblCellMar>
        </w:tblPrEx>
        <w:trPr>
          <w:cantSplit/>
        </w:trPr>
        <w:tc>
          <w:tcPr>
            <w:tcW w:w="5000" w:type="pct"/>
            <w:tcBorders>
              <w:top w:val="none" w:color="FFFFFF" w:sz="0" w:space="0"/>
              <w:left w:val="single" w:color="8754E9" w:sz="24" w:space="0"/>
              <w:bottom w:val="none" w:color="FFFFFF" w:sz="0" w:space="0"/>
              <w:right w:val="none" w:color="FFFFFF" w:sz="0" w:space="0"/>
            </w:tcBorders>
            <w:shd w:val="clear" w:color="auto" w:fill="F7F5FC"/>
            <w:tcMar>
              <w:top w:w="200" w:type="dxa"/>
              <w:left w:w="260" w:type="dxa"/>
              <w:bottom w:w="200" w:type="dxa"/>
              <w:right w:w="260" w:type="dxa"/>
            </w:tcMar>
          </w:tcPr>
          <w:p w:rsidR="004421DC" w:rsidRDefault="00D479E8" w14:paraId="6BAE7054" w14:textId="77777777">
            <w:pPr>
              <w:spacing w:after="80"/>
            </w:pPr>
            <w:r>
              <w:rPr>
                <w:b/>
                <w:bCs/>
                <w:color w:val="6B7280"/>
                <w:spacing w:val="12"/>
                <w:sz w:val="16"/>
                <w:szCs w:val="16"/>
              </w:rPr>
              <w:t>CODM'S PERSPECTIVE</w:t>
            </w:r>
          </w:p>
          <w:p w:rsidR="004421DC" w:rsidRDefault="00D479E8" w14:paraId="6DA0C8DD" w14:textId="77777777">
            <w:pPr>
              <w:spacing w:line="300" w:lineRule="auto"/>
            </w:pPr>
            <w:r>
              <w:t>This is a genuine estimate, not a number rounded down to sound better. Some engagements move faster, when the month-three quick win basically becomes the answer. Few move much slower, because by month three the direction is already clear either way.</w:t>
            </w:r>
          </w:p>
        </w:tc>
      </w:tr>
    </w:tbl>
    <w:p w:rsidR="004421DC" w:rsidRDefault="00D479E8" w14:paraId="722B00AE" w14:textId="77777777">
      <w:r>
        <w:br w:type="page"/>
      </w:r>
    </w:p>
    <w:p w:rsidR="004421DC" w:rsidP="7068594A" w:rsidRDefault="00D479E8" w14:paraId="21694DB6" w14:textId="3D761685">
      <w:pPr>
        <w:pStyle w:val="Normal"/>
        <w:spacing w:after="100"/>
      </w:pPr>
      <w:r w:rsidRPr="7068594A" w:rsidR="00D479E8">
        <w:rPr>
          <w:b w:val="1"/>
          <w:bCs w:val="1"/>
          <w:color w:val="8754E9"/>
          <w:sz w:val="16"/>
          <w:szCs w:val="16"/>
        </w:rPr>
        <w:t>THE BUSINESS CASE</w:t>
      </w:r>
    </w:p>
    <w:p w:rsidR="004421DC" w:rsidRDefault="00D479E8" w14:paraId="2E5A1B7E" w14:textId="77777777">
      <w:pPr>
        <w:spacing w:after="60"/>
      </w:pPr>
      <w:r>
        <w:rPr>
          <w:b/>
          <w:bCs/>
          <w:sz w:val="36"/>
          <w:szCs w:val="36"/>
        </w:rPr>
        <w:t>Turning this into a number your CFO will accept</w:t>
      </w:r>
    </w:p>
    <w:tbl>
      <w:tblPr>
        <w:tblW w:w="90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0"/>
      </w:tblGrid>
      <w:tr w:rsidR="004421DC" w14:paraId="7D34F5C7" w14:textId="77777777">
        <w:tblPrEx>
          <w:tblCellMar>
            <w:top w:w="0" w:type="dxa"/>
            <w:bottom w:w="0" w:type="dxa"/>
          </w:tblCellMar>
        </w:tblPrEx>
        <w:trPr>
          <w:trHeight w:val="50" w:hRule="exact"/>
        </w:trPr>
        <w:tc>
          <w:tcPr>
            <w:tcW w:w="900" w:type="dxa"/>
            <w:tcBorders>
              <w:top w:val="none" w:color="FFFFFF" w:sz="0" w:space="0"/>
              <w:left w:val="none" w:color="FFFFFF" w:sz="0" w:space="0"/>
              <w:bottom w:val="none" w:color="FFFFFF" w:sz="0" w:space="0"/>
              <w:right w:val="none" w:color="FFFFFF" w:sz="0" w:space="0"/>
            </w:tcBorders>
            <w:shd w:val="clear" w:color="auto" w:fill="8754E9"/>
          </w:tcPr>
          <w:p w:rsidR="004421DC" w:rsidRDefault="004421DC" w14:paraId="0B4020A7" w14:textId="77777777"/>
        </w:tc>
      </w:tr>
    </w:tbl>
    <w:p w:rsidR="004421DC" w:rsidRDefault="004421DC" w14:paraId="1D7B270A" w14:textId="77777777">
      <w:pPr>
        <w:spacing w:after="140"/>
      </w:pPr>
    </w:p>
    <w:p w:rsidR="004421DC" w:rsidRDefault="00D479E8" w14:paraId="0987BBC3" w14:textId="77777777">
      <w:pPr>
        <w:spacing w:after="160" w:line="300" w:lineRule="auto"/>
      </w:pPr>
      <w:r>
        <w:t>Everything so far has been the general pattern. Turning it into an actual business case means running the same exercise once more, specifically, with real numbers. Here's what that looks like for a fairly typical mid-market organisation.</w:t>
      </w:r>
    </w:p>
    <w:p w:rsidR="004421DC" w:rsidRDefault="004421DC" w14:paraId="4F904CB7" w14:textId="77777777">
      <w:pPr>
        <w:spacing w:after="140"/>
      </w:pPr>
    </w:p>
    <w:tbl>
      <w:tblPr>
        <w:tblW w:w="9865" w:type="dxa"/>
        <w:tblInd w:w="-3" w:type="dxa"/>
        <w:tblBorders>
          <w:top w:val="single" w:color="E5E7EB" w:sz="4" w:space="0"/>
          <w:left w:val="single" w:color="E5E7EB" w:sz="4" w:space="0"/>
          <w:bottom w:val="single" w:color="E5E7EB" w:sz="4" w:space="0"/>
          <w:right w:val="single" w:color="E5E7EB" w:sz="4" w:space="0"/>
          <w:insideH w:val="single" w:color="E5E7EB" w:sz="4" w:space="0"/>
          <w:insideV w:val="single" w:color="E5E7EB" w:sz="4" w:space="0"/>
        </w:tblBorders>
        <w:tblCellMar>
          <w:left w:w="10" w:type="dxa"/>
          <w:right w:w="10" w:type="dxa"/>
        </w:tblCellMar>
        <w:tblLook w:val="04A0" w:firstRow="1" w:lastRow="0" w:firstColumn="1" w:lastColumn="0" w:noHBand="0" w:noVBand="1"/>
      </w:tblPr>
      <w:tblGrid>
        <w:gridCol w:w="6200"/>
        <w:gridCol w:w="3665"/>
      </w:tblGrid>
      <w:tr w:rsidR="004421DC" w14:paraId="063FE788" w14:textId="77777777">
        <w:tblPrEx>
          <w:tblCellMar>
            <w:top w:w="0" w:type="dxa"/>
            <w:bottom w:w="0" w:type="dxa"/>
          </w:tblCellMar>
        </w:tblPrEx>
        <w:trPr>
          <w:cantSplit/>
          <w:tblHeader/>
        </w:trPr>
        <w:tc>
          <w:tcPr>
            <w:tcW w:w="6200" w:type="dxa"/>
            <w:shd w:val="clear" w:color="auto" w:fill="8754E9"/>
            <w:tcMar>
              <w:top w:w="130" w:type="dxa"/>
              <w:left w:w="150" w:type="dxa"/>
              <w:bottom w:w="130" w:type="dxa"/>
              <w:right w:w="150" w:type="dxa"/>
            </w:tcMar>
            <w:vAlign w:val="center"/>
          </w:tcPr>
          <w:p w:rsidR="004421DC" w:rsidRDefault="00D479E8" w14:paraId="477540C1" w14:textId="77777777">
            <w:r>
              <w:rPr>
                <w:b/>
                <w:bCs/>
                <w:color w:val="FFFFFF"/>
                <w:spacing w:val="5"/>
                <w:sz w:val="17"/>
                <w:szCs w:val="17"/>
              </w:rPr>
              <w:t>YEAR ONE, WORKED EXAMPLE</w:t>
            </w:r>
          </w:p>
        </w:tc>
        <w:tc>
          <w:tcPr>
            <w:tcW w:w="3665" w:type="dxa"/>
            <w:shd w:val="clear" w:color="auto" w:fill="8754E9"/>
            <w:tcMar>
              <w:top w:w="130" w:type="dxa"/>
              <w:left w:w="150" w:type="dxa"/>
              <w:bottom w:w="130" w:type="dxa"/>
              <w:right w:w="150" w:type="dxa"/>
            </w:tcMar>
            <w:vAlign w:val="center"/>
          </w:tcPr>
          <w:p w:rsidR="004421DC" w:rsidRDefault="00D479E8" w14:paraId="76CEBA7C" w14:textId="77777777">
            <w:r>
              <w:rPr>
                <w:b/>
                <w:bCs/>
                <w:color w:val="FFFFFF"/>
                <w:spacing w:val="5"/>
                <w:sz w:val="17"/>
                <w:szCs w:val="17"/>
              </w:rPr>
              <w:t>FIGURE</w:t>
            </w:r>
          </w:p>
        </w:tc>
      </w:tr>
      <w:tr w:rsidR="004421DC" w14:paraId="056B0215" w14:textId="77777777">
        <w:tblPrEx>
          <w:tblCellMar>
            <w:top w:w="0" w:type="dxa"/>
            <w:bottom w:w="0" w:type="dxa"/>
          </w:tblCellMar>
        </w:tblPrEx>
        <w:trPr>
          <w:cantSplit/>
        </w:trPr>
        <w:tc>
          <w:tcPr>
            <w:tcW w:w="6200" w:type="dxa"/>
            <w:tcMar>
              <w:top w:w="140" w:type="dxa"/>
              <w:left w:w="150" w:type="dxa"/>
              <w:bottom w:w="140" w:type="dxa"/>
              <w:right w:w="150" w:type="dxa"/>
            </w:tcMar>
            <w:vAlign w:val="center"/>
          </w:tcPr>
          <w:p w:rsidR="004421DC" w:rsidRDefault="00D479E8" w14:paraId="72939488" w14:textId="77777777">
            <w:pPr>
              <w:spacing w:line="260" w:lineRule="auto"/>
            </w:pPr>
            <w:r>
              <w:rPr>
                <w:color w:val="6B7280"/>
                <w:sz w:val="20"/>
                <w:szCs w:val="20"/>
              </w:rPr>
              <w:t>Annual cost of the current state</w:t>
            </w:r>
          </w:p>
        </w:tc>
        <w:tc>
          <w:tcPr>
            <w:tcW w:w="3665" w:type="dxa"/>
            <w:tcMar>
              <w:top w:w="140" w:type="dxa"/>
              <w:left w:w="150" w:type="dxa"/>
              <w:bottom w:w="140" w:type="dxa"/>
              <w:right w:w="150" w:type="dxa"/>
            </w:tcMar>
            <w:vAlign w:val="center"/>
          </w:tcPr>
          <w:p w:rsidR="004421DC" w:rsidRDefault="00D479E8" w14:paraId="4D50316D" w14:textId="77777777">
            <w:pPr>
              <w:spacing w:line="260" w:lineRule="auto"/>
            </w:pPr>
            <w:r>
              <w:rPr>
                <w:b/>
                <w:bCs/>
                <w:sz w:val="20"/>
                <w:szCs w:val="20"/>
              </w:rPr>
              <w:t>£320,000</w:t>
            </w:r>
          </w:p>
        </w:tc>
      </w:tr>
      <w:tr w:rsidR="004421DC" w14:paraId="0140AFB3" w14:textId="77777777">
        <w:tblPrEx>
          <w:tblCellMar>
            <w:top w:w="0" w:type="dxa"/>
            <w:bottom w:w="0" w:type="dxa"/>
          </w:tblCellMar>
        </w:tblPrEx>
        <w:trPr>
          <w:cantSplit/>
        </w:trPr>
        <w:tc>
          <w:tcPr>
            <w:tcW w:w="6200" w:type="dxa"/>
            <w:tcMar>
              <w:top w:w="140" w:type="dxa"/>
              <w:left w:w="150" w:type="dxa"/>
              <w:bottom w:w="140" w:type="dxa"/>
              <w:right w:w="150" w:type="dxa"/>
            </w:tcMar>
            <w:vAlign w:val="center"/>
          </w:tcPr>
          <w:p w:rsidR="004421DC" w:rsidRDefault="00D479E8" w14:paraId="535D3999" w14:textId="77777777">
            <w:pPr>
              <w:spacing w:line="260" w:lineRule="auto"/>
            </w:pPr>
            <w:r>
              <w:rPr>
                <w:color w:val="6B7280"/>
                <w:sz w:val="20"/>
                <w:szCs w:val="20"/>
              </w:rPr>
              <w:t>Year one investment</w:t>
            </w:r>
          </w:p>
        </w:tc>
        <w:tc>
          <w:tcPr>
            <w:tcW w:w="3665" w:type="dxa"/>
            <w:tcMar>
              <w:top w:w="140" w:type="dxa"/>
              <w:left w:w="150" w:type="dxa"/>
              <w:bottom w:w="140" w:type="dxa"/>
              <w:right w:w="150" w:type="dxa"/>
            </w:tcMar>
            <w:vAlign w:val="center"/>
          </w:tcPr>
          <w:p w:rsidR="004421DC" w:rsidRDefault="00D479E8" w14:paraId="29347D20" w14:textId="77777777">
            <w:pPr>
              <w:spacing w:line="260" w:lineRule="auto"/>
            </w:pPr>
            <w:r>
              <w:rPr>
                <w:b/>
                <w:bCs/>
                <w:sz w:val="20"/>
                <w:szCs w:val="20"/>
              </w:rPr>
              <w:t>£65,000</w:t>
            </w:r>
          </w:p>
        </w:tc>
      </w:tr>
      <w:tr w:rsidR="004421DC" w14:paraId="1C6330B7" w14:textId="77777777">
        <w:tblPrEx>
          <w:tblCellMar>
            <w:top w:w="0" w:type="dxa"/>
            <w:bottom w:w="0" w:type="dxa"/>
          </w:tblCellMar>
        </w:tblPrEx>
        <w:trPr>
          <w:cantSplit/>
        </w:trPr>
        <w:tc>
          <w:tcPr>
            <w:tcW w:w="6200" w:type="dxa"/>
            <w:tcMar>
              <w:top w:w="140" w:type="dxa"/>
              <w:left w:w="150" w:type="dxa"/>
              <w:bottom w:w="140" w:type="dxa"/>
              <w:right w:w="150" w:type="dxa"/>
            </w:tcMar>
            <w:vAlign w:val="center"/>
          </w:tcPr>
          <w:p w:rsidR="004421DC" w:rsidRDefault="00D479E8" w14:paraId="4C31D4ED" w14:textId="77777777">
            <w:pPr>
              <w:spacing w:line="260" w:lineRule="auto"/>
            </w:pPr>
            <w:r>
              <w:rPr>
                <w:color w:val="6B7280"/>
                <w:sz w:val="20"/>
                <w:szCs w:val="20"/>
              </w:rPr>
              <w:t>Year one benefit realised</w:t>
            </w:r>
          </w:p>
        </w:tc>
        <w:tc>
          <w:tcPr>
            <w:tcW w:w="3665" w:type="dxa"/>
            <w:tcMar>
              <w:top w:w="140" w:type="dxa"/>
              <w:left w:w="150" w:type="dxa"/>
              <w:bottom w:w="140" w:type="dxa"/>
              <w:right w:w="150" w:type="dxa"/>
            </w:tcMar>
            <w:vAlign w:val="center"/>
          </w:tcPr>
          <w:p w:rsidR="004421DC" w:rsidRDefault="00D479E8" w14:paraId="7EF82075" w14:textId="77777777">
            <w:pPr>
              <w:spacing w:line="260" w:lineRule="auto"/>
            </w:pPr>
            <w:r>
              <w:rPr>
                <w:b/>
                <w:bCs/>
                <w:sz w:val="20"/>
                <w:szCs w:val="20"/>
              </w:rPr>
              <w:t>£215,000</w:t>
            </w:r>
          </w:p>
        </w:tc>
      </w:tr>
      <w:tr w:rsidR="004421DC" w14:paraId="6174FC83" w14:textId="77777777">
        <w:tblPrEx>
          <w:tblCellMar>
            <w:top w:w="0" w:type="dxa"/>
            <w:bottom w:w="0" w:type="dxa"/>
          </w:tblCellMar>
        </w:tblPrEx>
        <w:trPr>
          <w:cantSplit/>
        </w:trPr>
        <w:tc>
          <w:tcPr>
            <w:tcW w:w="6200" w:type="dxa"/>
            <w:tcMar>
              <w:top w:w="140" w:type="dxa"/>
              <w:left w:w="150" w:type="dxa"/>
              <w:bottom w:w="140" w:type="dxa"/>
              <w:right w:w="150" w:type="dxa"/>
            </w:tcMar>
            <w:vAlign w:val="center"/>
          </w:tcPr>
          <w:p w:rsidR="004421DC" w:rsidRDefault="00D479E8" w14:paraId="5297A617" w14:textId="77777777">
            <w:pPr>
              <w:spacing w:line="260" w:lineRule="auto"/>
            </w:pPr>
            <w:r>
              <w:rPr>
                <w:b/>
                <w:bCs/>
                <w:sz w:val="20"/>
                <w:szCs w:val="20"/>
              </w:rPr>
              <w:t>Net benefit, year one</w:t>
            </w:r>
          </w:p>
        </w:tc>
        <w:tc>
          <w:tcPr>
            <w:tcW w:w="3665" w:type="dxa"/>
            <w:tcMar>
              <w:top w:w="140" w:type="dxa"/>
              <w:left w:w="150" w:type="dxa"/>
              <w:bottom w:w="140" w:type="dxa"/>
              <w:right w:w="150" w:type="dxa"/>
            </w:tcMar>
            <w:vAlign w:val="center"/>
          </w:tcPr>
          <w:p w:rsidR="004421DC" w:rsidRDefault="00D479E8" w14:paraId="1ED9213D" w14:textId="77777777">
            <w:pPr>
              <w:spacing w:line="260" w:lineRule="auto"/>
            </w:pPr>
            <w:r>
              <w:rPr>
                <w:b/>
                <w:bCs/>
                <w:color w:val="8754E9"/>
              </w:rPr>
              <w:t>£150,000</w:t>
            </w:r>
          </w:p>
        </w:tc>
      </w:tr>
      <w:tr w:rsidR="004421DC" w14:paraId="5F42287E" w14:textId="77777777">
        <w:tblPrEx>
          <w:tblCellMar>
            <w:top w:w="0" w:type="dxa"/>
            <w:bottom w:w="0" w:type="dxa"/>
          </w:tblCellMar>
        </w:tblPrEx>
        <w:trPr>
          <w:cantSplit/>
        </w:trPr>
        <w:tc>
          <w:tcPr>
            <w:tcW w:w="6200" w:type="dxa"/>
            <w:tcMar>
              <w:top w:w="140" w:type="dxa"/>
              <w:left w:w="150" w:type="dxa"/>
              <w:bottom w:w="140" w:type="dxa"/>
              <w:right w:w="150" w:type="dxa"/>
            </w:tcMar>
            <w:vAlign w:val="center"/>
          </w:tcPr>
          <w:p w:rsidR="004421DC" w:rsidRDefault="00D479E8" w14:paraId="73C0C149" w14:textId="77777777">
            <w:pPr>
              <w:spacing w:line="260" w:lineRule="auto"/>
            </w:pPr>
            <w:r>
              <w:rPr>
                <w:b/>
                <w:bCs/>
                <w:sz w:val="20"/>
                <w:szCs w:val="20"/>
              </w:rPr>
              <w:t>Payback period</w:t>
            </w:r>
          </w:p>
        </w:tc>
        <w:tc>
          <w:tcPr>
            <w:tcW w:w="3665" w:type="dxa"/>
            <w:tcMar>
              <w:top w:w="140" w:type="dxa"/>
              <w:left w:w="150" w:type="dxa"/>
              <w:bottom w:w="140" w:type="dxa"/>
              <w:right w:w="150" w:type="dxa"/>
            </w:tcMar>
            <w:vAlign w:val="center"/>
          </w:tcPr>
          <w:p w:rsidR="004421DC" w:rsidRDefault="00D479E8" w14:paraId="71078B78" w14:textId="77777777">
            <w:pPr>
              <w:spacing w:line="260" w:lineRule="auto"/>
            </w:pPr>
            <w:r>
              <w:rPr>
                <w:b/>
                <w:bCs/>
                <w:color w:val="8754E9"/>
              </w:rPr>
              <w:t>About ten weeks</w:t>
            </w:r>
          </w:p>
        </w:tc>
      </w:tr>
      <w:tr w:rsidR="004421DC" w14:paraId="6719DB4A" w14:textId="77777777">
        <w:tblPrEx>
          <w:tblCellMar>
            <w:top w:w="0" w:type="dxa"/>
            <w:bottom w:w="0" w:type="dxa"/>
          </w:tblCellMar>
        </w:tblPrEx>
        <w:trPr>
          <w:cantSplit/>
        </w:trPr>
        <w:tc>
          <w:tcPr>
            <w:tcW w:w="6200" w:type="dxa"/>
            <w:tcMar>
              <w:top w:w="140" w:type="dxa"/>
              <w:left w:w="150" w:type="dxa"/>
              <w:bottom w:w="140" w:type="dxa"/>
              <w:right w:w="150" w:type="dxa"/>
            </w:tcMar>
            <w:vAlign w:val="center"/>
          </w:tcPr>
          <w:p w:rsidR="004421DC" w:rsidRDefault="00D479E8" w14:paraId="5057828C" w14:textId="77777777">
            <w:pPr>
              <w:spacing w:line="260" w:lineRule="auto"/>
            </w:pPr>
            <w:r>
              <w:rPr>
                <w:color w:val="6B7280"/>
                <w:sz w:val="20"/>
                <w:szCs w:val="20"/>
              </w:rPr>
              <w:t>Ongoing annual cost, year two onward</w:t>
            </w:r>
          </w:p>
        </w:tc>
        <w:tc>
          <w:tcPr>
            <w:tcW w:w="3665" w:type="dxa"/>
            <w:tcMar>
              <w:top w:w="140" w:type="dxa"/>
              <w:left w:w="150" w:type="dxa"/>
              <w:bottom w:w="140" w:type="dxa"/>
              <w:right w:w="150" w:type="dxa"/>
            </w:tcMar>
            <w:vAlign w:val="center"/>
          </w:tcPr>
          <w:p w:rsidR="004421DC" w:rsidRDefault="00D479E8" w14:paraId="07F30ACA" w14:textId="77777777">
            <w:pPr>
              <w:spacing w:line="260" w:lineRule="auto"/>
            </w:pPr>
            <w:r>
              <w:rPr>
                <w:b/>
                <w:bCs/>
                <w:sz w:val="20"/>
                <w:szCs w:val="20"/>
              </w:rPr>
              <w:t>Roughly £12,000</w:t>
            </w:r>
          </w:p>
        </w:tc>
      </w:tr>
    </w:tbl>
    <w:p w:rsidR="004421DC" w:rsidRDefault="004421DC" w14:paraId="06971CD3" w14:textId="77777777">
      <w:pPr>
        <w:spacing w:after="180"/>
      </w:pPr>
    </w:p>
    <w:p w:rsidR="004421DC" w:rsidRDefault="00D479E8" w14:paraId="18FA54C6" w14:textId="77777777">
      <w:pPr>
        <w:spacing w:after="160" w:line="300" w:lineRule="auto"/>
      </w:pPr>
      <w:r>
        <w:t>Numbers like these move around more than any of us would like. If adoption is slower than expected, or scope creeps, the real figure lands closer to the low end. That's normal, and it's why the conservative case matters more than the optimistic one.</w:t>
      </w:r>
    </w:p>
    <w:p w:rsidR="004421DC" w:rsidRDefault="00D479E8" w14:paraId="4AF43C9C" w14:textId="77777777">
      <w:pPr>
        <w:spacing w:after="160" w:line="300" w:lineRule="auto"/>
      </w:pPr>
      <w:r>
        <w:t>The way to protect it is to structure the spend so most of it isn't committed until the month-three quick win has proven the direction is right. If early signs are good, the rest is a fairly safe bet. If not, the exposure is small.</w:t>
      </w:r>
    </w:p>
    <w:p w:rsidR="004421DC" w:rsidRDefault="004421DC" w14:paraId="2A1F701D" w14:textId="77777777">
      <w:pPr>
        <w:spacing w:after="140"/>
      </w:pPr>
    </w:p>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835"/>
      </w:tblGrid>
      <w:tr w:rsidR="004421DC" w14:paraId="6775F2C2" w14:textId="77777777">
        <w:tblPrEx>
          <w:tblCellMar>
            <w:top w:w="0" w:type="dxa"/>
            <w:bottom w:w="0" w:type="dxa"/>
          </w:tblCellMar>
        </w:tblPrEx>
        <w:trPr>
          <w:cantSplit/>
        </w:trPr>
        <w:tc>
          <w:tcPr>
            <w:tcW w:w="5000" w:type="pct"/>
            <w:tcBorders>
              <w:top w:val="none" w:color="FFFFFF" w:sz="0" w:space="0"/>
              <w:left w:val="single" w:color="8754E9" w:sz="24" w:space="0"/>
              <w:bottom w:val="none" w:color="FFFFFF" w:sz="0" w:space="0"/>
              <w:right w:val="none" w:color="FFFFFF" w:sz="0" w:space="0"/>
            </w:tcBorders>
            <w:shd w:val="clear" w:color="auto" w:fill="F7F5FC"/>
            <w:tcMar>
              <w:top w:w="200" w:type="dxa"/>
              <w:left w:w="260" w:type="dxa"/>
              <w:bottom w:w="200" w:type="dxa"/>
              <w:right w:w="260" w:type="dxa"/>
            </w:tcMar>
          </w:tcPr>
          <w:p w:rsidR="004421DC" w:rsidRDefault="00D479E8" w14:paraId="13F01C9F" w14:textId="77777777">
            <w:pPr>
              <w:spacing w:after="80"/>
            </w:pPr>
            <w:r>
              <w:rPr>
                <w:b/>
                <w:bCs/>
                <w:color w:val="6B7280"/>
                <w:spacing w:val="12"/>
                <w:sz w:val="16"/>
                <w:szCs w:val="16"/>
              </w:rPr>
              <w:t>CODM'S PERSPECTIVE</w:t>
            </w:r>
          </w:p>
          <w:p w:rsidR="004421DC" w:rsidRDefault="00D479E8" w14:paraId="18036744" w14:textId="77777777">
            <w:pPr>
              <w:spacing w:line="300" w:lineRule="auto"/>
            </w:pPr>
            <w:r>
              <w:t>We'd rather build a business case around the conservative number and beat it than build one around the optimistic number and miss it. Most of what's in this table has already happened somewhere in a client's business.</w:t>
            </w:r>
          </w:p>
        </w:tc>
      </w:tr>
    </w:tbl>
    <w:p w:rsidR="004421DC" w:rsidRDefault="00D479E8" w14:paraId="03EFCA41" w14:textId="77777777">
      <w:r>
        <w:br w:type="page"/>
      </w:r>
    </w:p>
    <w:p w:rsidR="004421DC" w:rsidRDefault="00D479E8" w14:paraId="4EA0F3EB" w14:textId="77777777">
      <w:pPr>
        <w:spacing w:after="100"/>
      </w:pPr>
      <w:r>
        <w:rPr>
          <w:b/>
          <w:bCs/>
          <w:color w:val="8754E9"/>
          <w:spacing w:val="20"/>
          <w:sz w:val="16"/>
          <w:szCs w:val="16"/>
        </w:rPr>
        <w:t>NEXT STEP</w:t>
      </w:r>
    </w:p>
    <w:p w:rsidR="004421DC" w:rsidRDefault="00D479E8" w14:paraId="05B4849B" w14:textId="77777777">
      <w:pPr>
        <w:spacing w:after="60"/>
      </w:pPr>
      <w:r>
        <w:rPr>
          <w:b/>
          <w:bCs/>
          <w:sz w:val="36"/>
          <w:szCs w:val="36"/>
        </w:rPr>
        <w:t>Start with a straight answer, not a sales call</w:t>
      </w:r>
    </w:p>
    <w:tbl>
      <w:tblPr>
        <w:tblW w:w="90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0"/>
      </w:tblGrid>
      <w:tr w:rsidR="004421DC" w14:paraId="5F96A722" w14:textId="77777777">
        <w:tblPrEx>
          <w:tblCellMar>
            <w:top w:w="0" w:type="dxa"/>
            <w:bottom w:w="0" w:type="dxa"/>
          </w:tblCellMar>
        </w:tblPrEx>
        <w:trPr>
          <w:trHeight w:val="50" w:hRule="exact"/>
        </w:trPr>
        <w:tc>
          <w:tcPr>
            <w:tcW w:w="900" w:type="dxa"/>
            <w:tcBorders>
              <w:top w:val="none" w:color="FFFFFF" w:sz="0" w:space="0"/>
              <w:left w:val="none" w:color="FFFFFF" w:sz="0" w:space="0"/>
              <w:bottom w:val="none" w:color="FFFFFF" w:sz="0" w:space="0"/>
              <w:right w:val="none" w:color="FFFFFF" w:sz="0" w:space="0"/>
            </w:tcBorders>
            <w:shd w:val="clear" w:color="auto" w:fill="8754E9"/>
          </w:tcPr>
          <w:p w:rsidR="004421DC" w:rsidRDefault="004421DC" w14:paraId="5B95CD12" w14:textId="77777777"/>
        </w:tc>
      </w:tr>
    </w:tbl>
    <w:p w:rsidR="004421DC" w:rsidRDefault="004421DC" w14:paraId="5220BBB2" w14:textId="77777777">
      <w:pPr>
        <w:spacing w:after="140"/>
      </w:pPr>
    </w:p>
    <w:p w:rsidR="004421DC" w:rsidRDefault="00D479E8" w14:paraId="7E7B052D" w14:textId="77777777">
      <w:pPr>
        <w:spacing w:after="160" w:line="300" w:lineRule="auto"/>
      </w:pPr>
      <w:r>
        <w:t>Everything in this guide points to the same conclusion: the number that matters is yours, not a borrowed benchmark. The fastest way to get it is a short, focused piece of work we call the CODM Transformation Assessment.</w:t>
      </w:r>
    </w:p>
    <w:p w:rsidR="004421DC" w:rsidRDefault="00D479E8" w14:paraId="3A99B792" w14:textId="77777777">
      <w:pPr>
        <w:spacing w:before="100" w:after="100"/>
      </w:pPr>
      <w:r>
        <w:rPr>
          <w:b/>
          <w:bCs/>
          <w:sz w:val="25"/>
          <w:szCs w:val="25"/>
        </w:rPr>
        <w:t>What you actually get</w:t>
      </w:r>
    </w:p>
    <w:p w:rsidR="004421DC" w:rsidRDefault="00D479E8" w14:paraId="3284CED1" w14:textId="77777777">
      <w:pPr>
        <w:spacing w:after="90"/>
        <w:ind w:left="260"/>
      </w:pPr>
      <w:r>
        <w:rPr>
          <w:b/>
          <w:bCs/>
          <w:color w:val="8754E9"/>
        </w:rPr>
        <w:t xml:space="preserve">—  </w:t>
      </w:r>
      <w:r>
        <w:t>Where you sit on the maturity framework, and roughly what that's costing you</w:t>
      </w:r>
    </w:p>
    <w:p w:rsidR="004421DC" w:rsidRDefault="00D479E8" w14:paraId="34D4B691" w14:textId="77777777">
      <w:pPr>
        <w:spacing w:after="90"/>
        <w:ind w:left="260"/>
      </w:pPr>
      <w:r>
        <w:rPr>
          <w:b/>
          <w:bCs/>
          <w:color w:val="8754E9"/>
        </w:rPr>
        <w:t xml:space="preserve">—  </w:t>
      </w:r>
      <w:r>
        <w:t>A specific, defensible cost-of-inaction figure</w:t>
      </w:r>
    </w:p>
    <w:p w:rsidR="004421DC" w:rsidRDefault="00D479E8" w14:paraId="379EAFA2" w14:textId="77777777">
      <w:pPr>
        <w:spacing w:after="90"/>
        <w:ind w:left="260"/>
      </w:pPr>
      <w:r>
        <w:rPr>
          <w:b/>
          <w:bCs/>
          <w:color w:val="8754E9"/>
        </w:rPr>
        <w:t xml:space="preserve">—  </w:t>
      </w:r>
      <w:r>
        <w:t>Two or three quick wins worth starting with, and roughly what they'd cost</w:t>
      </w:r>
    </w:p>
    <w:p w:rsidR="004421DC" w:rsidRDefault="00D479E8" w14:paraId="6B87DFF9" w14:textId="77777777">
      <w:pPr>
        <w:spacing w:after="90"/>
        <w:ind w:left="260"/>
      </w:pPr>
      <w:r>
        <w:rPr>
          <w:b/>
          <w:bCs/>
          <w:color w:val="8754E9"/>
        </w:rPr>
        <w:t xml:space="preserve">—  </w:t>
      </w:r>
      <w:r>
        <w:t>A six-month roadmap shaped around your organisation</w:t>
      </w:r>
    </w:p>
    <w:p w:rsidR="004421DC" w:rsidRDefault="00D479E8" w14:paraId="021477DD" w14:textId="77777777">
      <w:pPr>
        <w:spacing w:after="90"/>
        <w:ind w:left="260"/>
      </w:pPr>
      <w:r>
        <w:rPr>
          <w:b/>
          <w:bCs/>
          <w:color w:val="8754E9"/>
        </w:rPr>
        <w:t xml:space="preserve">—  </w:t>
      </w:r>
      <w:r>
        <w:t>A conservative return figure your finance team can stand behind</w:t>
      </w:r>
    </w:p>
    <w:p w:rsidR="004421DC" w:rsidRDefault="004421DC" w14:paraId="13CB595B" w14:textId="77777777">
      <w:pPr>
        <w:spacing w:after="100"/>
      </w:pPr>
    </w:p>
    <w:p w:rsidR="004421DC" w:rsidRDefault="00D479E8" w14:paraId="0DB61619" w14:textId="1253ACED">
      <w:pPr>
        <w:spacing w:after="160" w:line="300" w:lineRule="auto"/>
      </w:pPr>
      <w:r w:rsidR="00D479E8">
        <w:rPr/>
        <w:t xml:space="preserve">It runs </w:t>
      </w:r>
      <w:r w:rsidR="3498FEA9">
        <w:rPr/>
        <w:t xml:space="preserve">One </w:t>
      </w:r>
      <w:r w:rsidR="00D479E8">
        <w:rPr/>
        <w:t xml:space="preserve">to </w:t>
      </w:r>
      <w:r w:rsidR="5771EDA0">
        <w:rPr/>
        <w:t xml:space="preserve">three </w:t>
      </w:r>
      <w:r w:rsidR="00D479E8">
        <w:rPr/>
        <w:t xml:space="preserve">weeks: a short conversation, a handful of interviews, a working session to walk through what we found. </w:t>
      </w:r>
      <w:r w:rsidR="00D479E8">
        <w:rPr/>
        <w:t>What's</w:t>
      </w:r>
      <w:r w:rsidR="00D479E8">
        <w:rPr/>
        <w:t xml:space="preserve"> delivered is a proper written assessment, specific enough to hand to a different vendor entirely.</w:t>
      </w:r>
    </w:p>
    <w:p w:rsidR="004421DC" w:rsidRDefault="00D479E8" w14:paraId="1590A941" w14:textId="2104CE23">
      <w:pPr>
        <w:spacing w:after="160" w:line="300" w:lineRule="auto"/>
      </w:pPr>
      <w:r w:rsidR="00D479E8">
        <w:rPr/>
        <w:t>There's</w:t>
      </w:r>
      <w:r w:rsidR="00D479E8">
        <w:rPr/>
        <w:t xml:space="preserve"> a fee,</w:t>
      </w:r>
      <w:r w:rsidR="4099F084">
        <w:rPr/>
        <w:t xml:space="preserve"> very generous</w:t>
      </w:r>
      <w:r w:rsidR="00D479E8">
        <w:rPr/>
        <w:t xml:space="preserve"> </w:t>
      </w:r>
      <w:r w:rsidR="00D479E8">
        <w:rPr/>
        <w:t xml:space="preserve">and if the engagement goes ahead, most of it comes off the cost of the work itself. If it </w:t>
      </w:r>
      <w:r w:rsidR="00D479E8">
        <w:rPr/>
        <w:t>doesn't</w:t>
      </w:r>
      <w:r w:rsidR="00D479E8">
        <w:rPr/>
        <w:t>, the assessment is still yours to keep.</w:t>
      </w:r>
    </w:p>
    <w:p w:rsidR="004421DC" w:rsidRDefault="004421DC" w14:paraId="6D9C8D39" w14:textId="77777777">
      <w:pPr>
        <w:spacing w:after="140"/>
      </w:pPr>
    </w:p>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835"/>
      </w:tblGrid>
      <w:tr w:rsidR="004421DC" w14:paraId="6AD384C4" w14:textId="77777777">
        <w:tblPrEx>
          <w:tblCellMar>
            <w:top w:w="0" w:type="dxa"/>
            <w:bottom w:w="0" w:type="dxa"/>
          </w:tblCellMar>
        </w:tblPrEx>
        <w:trPr>
          <w:cantSplit/>
        </w:trPr>
        <w:tc>
          <w:tcPr>
            <w:tcW w:w="5000" w:type="pct"/>
            <w:tcBorders>
              <w:top w:val="none" w:color="FFFFFF" w:sz="0" w:space="0"/>
              <w:left w:val="single" w:color="8754E9" w:sz="24" w:space="0"/>
              <w:bottom w:val="none" w:color="FFFFFF" w:sz="0" w:space="0"/>
              <w:right w:val="none" w:color="FFFFFF" w:sz="0" w:space="0"/>
            </w:tcBorders>
            <w:shd w:val="clear" w:color="auto" w:fill="F7F5FC"/>
            <w:tcMar>
              <w:top w:w="200" w:type="dxa"/>
              <w:left w:w="260" w:type="dxa"/>
              <w:bottom w:w="200" w:type="dxa"/>
              <w:right w:w="260" w:type="dxa"/>
            </w:tcMar>
          </w:tcPr>
          <w:p w:rsidR="004421DC" w:rsidRDefault="00D479E8" w14:paraId="5DB40DAA" w14:textId="77777777">
            <w:pPr>
              <w:spacing w:after="80"/>
            </w:pPr>
            <w:r>
              <w:rPr>
                <w:b/>
                <w:bCs/>
                <w:color w:val="6B7280"/>
                <w:spacing w:val="12"/>
                <w:sz w:val="16"/>
                <w:szCs w:val="16"/>
              </w:rPr>
              <w:t>CODM'S PERSPECTIVE</w:t>
            </w:r>
          </w:p>
          <w:p w:rsidR="004421DC" w:rsidRDefault="00D479E8" w14:paraId="5F9A2E36" w14:textId="77777777">
            <w:pPr>
              <w:spacing w:line="300" w:lineRule="auto"/>
            </w:pPr>
            <w:r>
              <w:t>We'd rather lose the odd assessment fee than have anyone feel cornered into a decision. The point of this guide, and the assessment after it, is to make the decision easier to get right.</w:t>
            </w:r>
          </w:p>
        </w:tc>
      </w:tr>
    </w:tbl>
    <w:p w:rsidR="004421DC" w:rsidRDefault="004421DC" w14:paraId="675E05EE" w14:textId="77777777">
      <w:pPr>
        <w:spacing w:after="160"/>
      </w:pPr>
    </w:p>
    <w:p w:rsidR="004421DC" w:rsidRDefault="00D479E8" w14:paraId="4AAB4763" w14:textId="77777777">
      <w:pPr>
        <w:spacing w:before="100" w:after="100"/>
      </w:pPr>
      <w:r>
        <w:rPr>
          <w:b/>
          <w:bCs/>
          <w:sz w:val="25"/>
          <w:szCs w:val="25"/>
        </w:rPr>
        <w:t>Where to go from here</w:t>
      </w:r>
    </w:p>
    <w:p w:rsidR="004421DC" w:rsidRDefault="00D479E8" w14:paraId="66F3BC9A" w14:textId="77777777">
      <w:pPr>
        <w:spacing w:line="300" w:lineRule="auto"/>
      </w:pPr>
      <w:r>
        <w:t>If you're not ready to act yet, put this in front of whoever else needs to agree, a CFO, a fellow director, whoever holds the budget. If you're ready to talk, the simplest next step is a short call, thirty minutes, no obligation. From there it's usually four to six weeks to a finished assessment, and a decision either way not long after.</w:t>
      </w:r>
    </w:p>
    <w:p w:rsidR="004421DC" w:rsidRDefault="00D479E8" w14:paraId="2FC17F8B" w14:textId="77777777">
      <w:r>
        <w:br w:type="page"/>
      </w:r>
    </w:p>
    <w:p w:rsidR="004421DC" w:rsidRDefault="00D479E8" w14:paraId="39133FAE" w14:textId="77777777">
      <w:pPr>
        <w:spacing w:after="100"/>
      </w:pPr>
      <w:r>
        <w:rPr>
          <w:b/>
          <w:bCs/>
          <w:color w:val="8754E9"/>
          <w:spacing w:val="20"/>
          <w:sz w:val="16"/>
          <w:szCs w:val="16"/>
        </w:rPr>
        <w:t>ABOUT CODM</w:t>
      </w:r>
    </w:p>
    <w:p w:rsidR="004421DC" w:rsidRDefault="00D479E8" w14:paraId="0EA01E7F" w14:textId="77777777">
      <w:pPr>
        <w:spacing w:after="60"/>
      </w:pPr>
      <w:r>
        <w:rPr>
          <w:b/>
          <w:bCs/>
          <w:sz w:val="36"/>
          <w:szCs w:val="36"/>
        </w:rPr>
        <w:t>About CODM Software</w:t>
      </w:r>
    </w:p>
    <w:tbl>
      <w:tblPr>
        <w:tblW w:w="90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0"/>
      </w:tblGrid>
      <w:tr w:rsidR="004421DC" w14:paraId="0A4F7224" w14:textId="77777777">
        <w:tblPrEx>
          <w:tblCellMar>
            <w:top w:w="0" w:type="dxa"/>
            <w:bottom w:w="0" w:type="dxa"/>
          </w:tblCellMar>
        </w:tblPrEx>
        <w:trPr>
          <w:trHeight w:val="50" w:hRule="exact"/>
        </w:trPr>
        <w:tc>
          <w:tcPr>
            <w:tcW w:w="900" w:type="dxa"/>
            <w:tcBorders>
              <w:top w:val="none" w:color="FFFFFF" w:sz="0" w:space="0"/>
              <w:left w:val="none" w:color="FFFFFF" w:sz="0" w:space="0"/>
              <w:bottom w:val="none" w:color="FFFFFF" w:sz="0" w:space="0"/>
              <w:right w:val="none" w:color="FFFFFF" w:sz="0" w:space="0"/>
            </w:tcBorders>
            <w:shd w:val="clear" w:color="auto" w:fill="8754E9"/>
          </w:tcPr>
          <w:p w:rsidR="004421DC" w:rsidRDefault="004421DC" w14:paraId="5AE48A43" w14:textId="77777777"/>
        </w:tc>
      </w:tr>
    </w:tbl>
    <w:p w:rsidR="004421DC" w:rsidRDefault="004421DC" w14:paraId="50F40DEB" w14:textId="77777777">
      <w:pPr>
        <w:spacing w:after="140"/>
      </w:pPr>
    </w:p>
    <w:p w:rsidR="004421DC" w:rsidRDefault="00D479E8" w14:paraId="162C3F42" w14:textId="77777777">
      <w:pPr>
        <w:spacing w:after="160" w:line="300" w:lineRule="auto"/>
      </w:pPr>
      <w:r>
        <w:t>CODM Software is a Salesforce and Agentforce implementation partner, and a registered supplier on the UK Government's G-Cloud framework. Everything in this guide reflects how we actually work: diagnose properly, prove value in small pieces, measure results honestly.</w:t>
      </w:r>
    </w:p>
    <w:p w:rsidR="004421DC" w:rsidRDefault="00D479E8" w14:paraId="14F7DD48" w14:textId="06B759B9">
      <w:pPr>
        <w:spacing w:after="160" w:line="300" w:lineRule="auto"/>
      </w:pPr>
      <w:r w:rsidR="00D479E8">
        <w:rPr/>
        <w:t xml:space="preserve">Get in touch </w:t>
      </w:r>
      <w:r w:rsidR="7044689E">
        <w:rPr/>
        <w:t>directly or</w:t>
      </w:r>
      <w:r w:rsidR="00D479E8">
        <w:rPr/>
        <w:t xml:space="preserve"> start with the assessment described on the </w:t>
      </w:r>
      <w:r w:rsidR="00D479E8">
        <w:rPr/>
        <w:t>previous</w:t>
      </w:r>
      <w:r w:rsidR="00D479E8">
        <w:rPr/>
        <w:t xml:space="preserve"> page.</w:t>
      </w:r>
    </w:p>
    <w:p w:rsidR="004421DC" w:rsidRDefault="004421DC" w14:paraId="77A52294" w14:textId="77777777">
      <w:pPr>
        <w:spacing w:after="200"/>
      </w:pPr>
    </w:p>
    <w:p w:rsidR="004421DC" w:rsidRDefault="00D479E8" w14:paraId="386102BF" w14:textId="77777777">
      <w:pPr>
        <w:spacing w:after="90"/>
      </w:pPr>
      <w:r>
        <w:rPr>
          <w:b/>
          <w:bCs/>
          <w:color w:val="6B7280"/>
          <w:sz w:val="21"/>
          <w:szCs w:val="21"/>
        </w:rPr>
        <w:t xml:space="preserve">Email   </w:t>
      </w:r>
      <w:r>
        <w:rPr>
          <w:color w:val="8754E9"/>
          <w:sz w:val="21"/>
          <w:szCs w:val="21"/>
        </w:rPr>
        <w:t>saurabh.sinha@codmsoftware.co.uk</w:t>
      </w:r>
    </w:p>
    <w:p w:rsidR="004421DC" w:rsidRDefault="00D479E8" w14:paraId="2F01A28C" w14:textId="77777777">
      <w:pPr>
        <w:spacing w:after="90"/>
      </w:pPr>
      <w:r>
        <w:rPr>
          <w:b/>
          <w:bCs/>
          <w:color w:val="6B7280"/>
          <w:sz w:val="21"/>
          <w:szCs w:val="21"/>
        </w:rPr>
        <w:t xml:space="preserve">Website   </w:t>
      </w:r>
      <w:r>
        <w:rPr>
          <w:color w:val="8754E9"/>
          <w:sz w:val="21"/>
          <w:szCs w:val="21"/>
        </w:rPr>
        <w:t>codmsoftware.co.uk</w:t>
      </w:r>
    </w:p>
    <w:p w:rsidR="004421DC" w:rsidRDefault="004421DC" w14:paraId="007DCDA8" w14:textId="77777777">
      <w:pPr>
        <w:spacing w:after="220"/>
      </w:pPr>
    </w:p>
    <w:p w:rsidR="03F4169A" w:rsidP="16D1970B" w:rsidRDefault="03F4169A" w14:paraId="670B7DC5">
      <w:pPr>
        <w:spacing w:before="420" w:after="180"/>
      </w:pPr>
      <w:r w:rsidRPr="16D1970B" w:rsidR="03F4169A">
        <w:rPr>
          <w:b w:val="1"/>
          <w:bCs w:val="1"/>
          <w:color w:val="9CA3AF"/>
          <w:sz w:val="15"/>
          <w:szCs w:val="15"/>
        </w:rPr>
        <w:t>ACCREDITED &amp; TRUSTED</w:t>
      </w:r>
    </w:p>
    <w:tbl>
      <w:tblPr>
        <w:tblStyle w:val="TableGrid"/>
        <w:tblW w:w="0" w:type="auto"/>
        <w:tblBorders>
          <w:top w:val="single" w:color="E5E7EB" w:sz="24"/>
          <w:left w:val="double" w:color="FFFFFF" w:themeColor="background1" w:sz="4"/>
          <w:bottom w:val="single" w:color="E5E7EB" w:sz="24"/>
          <w:right w:val="double" w:color="FFFFFF" w:themeColor="background1" w:sz="4"/>
        </w:tblBorders>
        <w:tblLook w:val="04A0" w:firstRow="1" w:lastRow="0" w:firstColumn="1" w:lastColumn="0" w:noHBand="0" w:noVBand="1"/>
      </w:tblPr>
      <w:tblGrid>
        <w:gridCol w:w="975"/>
        <w:gridCol w:w="930"/>
        <w:gridCol w:w="1095"/>
      </w:tblGrid>
      <w:tr w:rsidR="16D1970B" w:rsidTr="16D1970B" w14:paraId="4DD39D7E">
        <w:trPr>
          <w:trHeight w:val="300"/>
        </w:trPr>
        <w:tc>
          <w:tcPr>
            <w:tcW w:w="975" w:type="dxa"/>
            <w:tcBorders>
              <w:top w:val="none" w:color="FFFFFF" w:themeColor="background1" w:sz="4"/>
              <w:left w:val="none" w:color="FFFFFF" w:themeColor="background1" w:sz="4"/>
              <w:bottom w:val="none" w:color="FFFFFF" w:themeColor="background1" w:sz="4"/>
              <w:right w:val="none" w:color="FFFFFF" w:themeColor="background1" w:sz="4"/>
            </w:tcBorders>
            <w:tcMar/>
          </w:tcPr>
          <w:p w:rsidR="16D1970B" w:rsidP="16D1970B" w:rsidRDefault="16D1970B" w14:paraId="28D3C98A" w14:textId="5F0FE79A">
            <w:pPr>
              <w:pStyle w:val="Normal"/>
            </w:pPr>
            <w:r w:rsidR="16D1970B">
              <w:drawing>
                <wp:inline wp14:editId="3AA4D51D" wp14:anchorId="74339AFD">
                  <wp:extent cx="590550" cy="581025"/>
                  <wp:effectExtent l="0" t="0" r="0" b="0"/>
                  <wp:docPr id="1384336299" name="Picture 1046980151"/>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a:picLocks xmlns:a="http://schemas.openxmlformats.org/drawingml/2006/main" noChangeAspect="1" noChangeArrowheads="1"/>
                          </pic:cNvPicPr>
                        </pic:nvPicPr>
                        <pic:blipFill xmlns:pic="http://schemas.openxmlformats.org/drawingml/2006/picture">
                          <a:blip xmlns:r="http://schemas.openxmlformats.org/officeDocument/2006/relationships" xmlns:a="http://schemas.openxmlformats.org/drawingml/2006/main" r:embed="rId8"/>
                          <a:srcRect xmlns:a="http://schemas.openxmlformats.org/drawingml/2006/main"/>
                          <a:stretch xmlns:a="http://schemas.openxmlformats.org/drawingml/2006/main">
                            <a:fillRect xmlns:a="http://schemas.openxmlformats.org/drawingml/2006/main"/>
                          </a:stretch>
                        </pic:blipFill>
                        <pic:spPr xmlns:pic="http://schemas.openxmlformats.org/drawingml/2006/picture" bwMode="auto">
                          <a:xfrm xmlns:a="http://schemas.openxmlformats.org/drawingml/2006/main">
                            <a:off xmlns:a="http://schemas.openxmlformats.org/drawingml/2006/main" x="0" y="0"/>
                            <a:ext xmlns:a="http://schemas.openxmlformats.org/drawingml/2006/main" cx="590550" cy="581025"/>
                          </a:xfrm>
                          <a:prstGeom xmlns:a="http://schemas.openxmlformats.org/drawingml/2006/main" prst="rect">
                            <a:avLst xmlns:a="http://schemas.openxmlformats.org/drawingml/2006/main"/>
                          </a:prstGeom>
                        </pic:spPr>
                      </pic:pic>
                    </a:graphicData>
                  </a:graphic>
                </wp:inline>
              </w:drawing>
            </w:r>
          </w:p>
        </w:tc>
        <w:tc>
          <w:tcPr>
            <w:tcW w:w="930" w:type="dxa"/>
            <w:tcBorders>
              <w:top w:val="none" w:color="FFFFFF" w:themeColor="background1" w:sz="4"/>
              <w:left w:val="none" w:color="FFFFFF" w:themeColor="background1" w:sz="4"/>
              <w:bottom w:val="none" w:color="FFFFFF" w:themeColor="background1" w:sz="4"/>
              <w:right w:val="none" w:color="FFFFFF" w:themeColor="background1" w:sz="4"/>
            </w:tcBorders>
            <w:tcMar/>
          </w:tcPr>
          <w:p w:rsidR="16D1970B" w:rsidP="16D1970B" w:rsidRDefault="16D1970B" w14:paraId="79F85057" w14:textId="6CC77E4F">
            <w:pPr>
              <w:pStyle w:val="Normal"/>
            </w:pPr>
            <w:r w:rsidR="16D1970B">
              <w:drawing>
                <wp:inline wp14:editId="61C55B7A" wp14:anchorId="396F846A">
                  <wp:extent cx="552450" cy="552450"/>
                  <wp:effectExtent l="0" t="0" r="0" b="0"/>
                  <wp:docPr id="147360765" name="Picture 907504484"/>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a:picLocks xmlns:a="http://schemas.openxmlformats.org/drawingml/2006/main" noChangeAspect="1" noChangeArrowheads="1"/>
                          </pic:cNvPicPr>
                        </pic:nvPicPr>
                        <pic:blipFill xmlns:pic="http://schemas.openxmlformats.org/drawingml/2006/picture">
                          <a:blip xmlns:r="http://schemas.openxmlformats.org/officeDocument/2006/relationships" xmlns:a="http://schemas.openxmlformats.org/drawingml/2006/main" r:embed="rId9"/>
                          <a:srcRect xmlns:a="http://schemas.openxmlformats.org/drawingml/2006/main"/>
                          <a:stretch xmlns:a="http://schemas.openxmlformats.org/drawingml/2006/main">
                            <a:fillRect xmlns:a="http://schemas.openxmlformats.org/drawingml/2006/main"/>
                          </a:stretch>
                        </pic:blipFill>
                        <pic:spPr xmlns:pic="http://schemas.openxmlformats.org/drawingml/2006/picture" bwMode="auto">
                          <a:xfrm xmlns:a="http://schemas.openxmlformats.org/drawingml/2006/main">
                            <a:off xmlns:a="http://schemas.openxmlformats.org/drawingml/2006/main" x="0" y="0"/>
                            <a:ext xmlns:a="http://schemas.openxmlformats.org/drawingml/2006/main" cx="552450" cy="552450"/>
                          </a:xfrm>
                          <a:prstGeom xmlns:a="http://schemas.openxmlformats.org/drawingml/2006/main" prst="rect">
                            <a:avLst xmlns:a="http://schemas.openxmlformats.org/drawingml/2006/main"/>
                          </a:prstGeom>
                        </pic:spPr>
                      </pic:pic>
                    </a:graphicData>
                  </a:graphic>
                </wp:inline>
              </w:drawing>
            </w:r>
          </w:p>
        </w:tc>
        <w:tc>
          <w:tcPr>
            <w:tcW w:w="1095" w:type="dxa"/>
            <w:tcBorders>
              <w:top w:val="none" w:color="FFFFFF" w:themeColor="background1" w:sz="4"/>
              <w:left w:val="none" w:color="FFFFFF" w:themeColor="background1" w:sz="4"/>
              <w:bottom w:val="none" w:color="FFFFFF" w:themeColor="background1" w:sz="4"/>
              <w:right w:val="none" w:color="FFFFFF" w:themeColor="background1" w:sz="4"/>
            </w:tcBorders>
            <w:tcMar/>
          </w:tcPr>
          <w:p w:rsidR="16D1970B" w:rsidP="16D1970B" w:rsidRDefault="16D1970B" w14:paraId="294B36B4" w14:textId="6F877E53">
            <w:pPr>
              <w:pStyle w:val="Normal"/>
            </w:pPr>
            <w:r w:rsidR="16D1970B">
              <w:drawing>
                <wp:inline wp14:editId="6933EF42" wp14:anchorId="7A0A1C82">
                  <wp:extent cx="639699" cy="580718"/>
                  <wp:effectExtent l="0" t="0" r="0" b="0"/>
                  <wp:docPr id="2013085029" name="Picture 1372696254"/>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a:picLocks xmlns:a="http://schemas.openxmlformats.org/drawingml/2006/main" noChangeAspect="1" noChangeArrowheads="1"/>
                          </pic:cNvPicPr>
                        </pic:nvPicPr>
                        <pic:blipFill xmlns:pic="http://schemas.openxmlformats.org/drawingml/2006/picture">
                          <a:blip xmlns:r="http://schemas.openxmlformats.org/officeDocument/2006/relationships" xmlns:a="http://schemas.openxmlformats.org/drawingml/2006/main" r:embed="rId10"/>
                          <a:srcRect xmlns:a="http://schemas.openxmlformats.org/drawingml/2006/main"/>
                          <a:stretch xmlns:a="http://schemas.openxmlformats.org/drawingml/2006/main">
                            <a:fillRect xmlns:a="http://schemas.openxmlformats.org/drawingml/2006/main"/>
                          </a:stretch>
                        </pic:blipFill>
                        <pic:spPr xmlns:pic="http://schemas.openxmlformats.org/drawingml/2006/picture" bwMode="auto">
                          <a:xfrm xmlns:a="http://schemas.openxmlformats.org/drawingml/2006/main" rot="0">
                            <a:off xmlns:a="http://schemas.openxmlformats.org/drawingml/2006/main" x="0" y="0"/>
                            <a:ext xmlns:a="http://schemas.openxmlformats.org/drawingml/2006/main" cx="639699" cy="580718"/>
                          </a:xfrm>
                          <a:prstGeom xmlns:a="http://schemas.openxmlformats.org/drawingml/2006/main" prst="rect">
                            <a:avLst xmlns:a="http://schemas.openxmlformats.org/drawingml/2006/main"/>
                          </a:prstGeom>
                        </pic:spPr>
                      </pic:pic>
                    </a:graphicData>
                  </a:graphic>
                </wp:inline>
              </w:drawing>
            </w:r>
          </w:p>
        </w:tc>
      </w:tr>
    </w:tbl>
    <w:p w:rsidR="16D1970B" w:rsidP="16D1970B" w:rsidRDefault="16D1970B" w14:paraId="6BC9E037" w14:textId="55437E4A">
      <w:pPr>
        <w:pStyle w:val="Normal"/>
        <w:suppressLineNumbers w:val="0"/>
        <w:bidi w:val="0"/>
        <w:spacing w:before="420" w:beforeAutospacing="off" w:after="180" w:afterAutospacing="off" w:line="259" w:lineRule="auto"/>
        <w:ind w:left="0" w:right="0"/>
        <w:jc w:val="left"/>
        <w:rPr>
          <w:b w:val="1"/>
          <w:bCs w:val="1"/>
          <w:color w:val="9CA3AF"/>
          <w:sz w:val="15"/>
          <w:szCs w:val="15"/>
        </w:rPr>
      </w:pPr>
    </w:p>
    <w:p w:rsidR="16D1970B" w:rsidP="16D1970B" w:rsidRDefault="16D1970B" w14:paraId="2284823C" w14:textId="2E3056C4">
      <w:pPr>
        <w:pBdr>
          <w:top w:val="single" w:color="E5E7EB" w:sz="4" w:space="10"/>
        </w:pBdr>
        <w:spacing w:before="300" w:after="60"/>
        <w:rPr>
          <w:color w:val="9CA3AF"/>
          <w:sz w:val="17"/>
          <w:szCs w:val="17"/>
        </w:rPr>
      </w:pPr>
    </w:p>
    <w:p w:rsidR="004421DC" w:rsidRDefault="00D479E8" w14:paraId="19242EC0" w14:textId="77777777">
      <w:pPr>
        <w:pBdr>
          <w:top w:val="single" w:color="E5E7EB" w:sz="4" w:space="10"/>
        </w:pBdr>
        <w:spacing w:before="300" w:after="60"/>
      </w:pPr>
      <w:r>
        <w:rPr>
          <w:color w:val="9CA3AF"/>
          <w:sz w:val="17"/>
          <w:szCs w:val="17"/>
        </w:rPr>
        <w:t>CODM Software — Salesforce &amp; Agentforce Implementation Partner</w:t>
      </w:r>
    </w:p>
    <w:p w:rsidR="004421DC" w:rsidRDefault="00D479E8" w14:paraId="6F149744" w14:textId="77777777">
      <w:r>
        <w:rPr>
          <w:color w:val="9CA3AF"/>
          <w:sz w:val="17"/>
          <w:szCs w:val="17"/>
        </w:rPr>
        <w:t>© 2026 CODM Software. All rights reserved.</w:t>
      </w:r>
    </w:p>
    <w:sectPr w:rsidR="004421DC">
      <w:headerReference w:type="default" r:id="rId15"/>
      <w:footerReference w:type="default" r:id="rId16"/>
      <w:pgSz w:w="11905" w:h="16837" w:orient="portrait"/>
      <w:pgMar w:top="1247" w:right="1020" w:bottom="1133" w:left="10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79E8" w:rsidRDefault="00D479E8" w14:paraId="14992471" w14:textId="77777777">
      <w:r>
        <w:separator/>
      </w:r>
    </w:p>
  </w:endnote>
  <w:endnote w:type="continuationSeparator" w:id="0">
    <w:p w:rsidR="00D479E8" w:rsidRDefault="00D479E8" w14:paraId="71FEB38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21DC" w:rsidRDefault="004421DC" w14:paraId="4BDB5498"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21DC" w:rsidRDefault="004421DC" w14:paraId="2916C19D"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000" w:type="pct"/>
      <w:tblBorders>
        <w:top w:val="single" w:color="E5E7EB" w:sz="4"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3946"/>
      <w:gridCol w:w="3453"/>
      <w:gridCol w:w="2466"/>
    </w:tblGrid>
    <w:tr w:rsidR="004421DC" w:rsidTr="16D1970B" w14:paraId="721E9724" w14:textId="77777777">
      <w:tblPrEx>
        <w:tblCellMar>
          <w:top w:w="0" w:type="dxa"/>
          <w:bottom w:w="0" w:type="dxa"/>
        </w:tblCellMar>
      </w:tblPrEx>
      <w:tc>
        <w:tcPr>
          <w:tcW w:w="2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120" w:type="dxa"/>
          </w:tcMar>
          <w:vAlign w:val="center"/>
        </w:tcPr>
        <w:p w:rsidR="004421DC" w:rsidRDefault="00D479E8" w14:paraId="242AE758" w14:textId="50EDF0E8">
          <w:r w:rsidRPr="16D1970B" w:rsidR="16D1970B">
            <w:rPr>
              <w:color w:val="9CA3AF"/>
              <w:sz w:val="14"/>
              <w:szCs w:val="14"/>
            </w:rPr>
            <w:t xml:space="preserve">CODM </w:t>
          </w:r>
          <w:r w:rsidRPr="16D1970B" w:rsidR="16D1970B">
            <w:rPr>
              <w:color w:val="9CA3AF"/>
              <w:sz w:val="14"/>
              <w:szCs w:val="14"/>
            </w:rPr>
            <w:t>Software |</w:t>
          </w:r>
          <w:r w:rsidRPr="16D1970B" w:rsidR="16D1970B">
            <w:rPr>
              <w:color w:val="9CA3AF"/>
              <w:sz w:val="14"/>
              <w:szCs w:val="14"/>
            </w:rPr>
            <w:t xml:space="preserve">  codmsoftware.co.uk</w:t>
          </w:r>
        </w:p>
      </w:tc>
      <w:tc>
        <w:tcPr>
          <w:tcW w:w="175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120" w:type="dxa"/>
          </w:tcMar>
          <w:vAlign w:val="center"/>
        </w:tcPr>
        <w:p w:rsidR="004421DC" w:rsidRDefault="004421DC" w14:paraId="187F57B8" w14:textId="77777777"/>
      </w:tc>
      <w:tc>
        <w:tcPr>
          <w:tcW w:w="125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120" w:type="dxa"/>
          </w:tcMar>
          <w:vAlign w:val="center"/>
        </w:tcPr>
        <w:p w:rsidR="004421DC" w:rsidRDefault="00D479E8" w14:paraId="54738AF4" w14:textId="77777777">
          <w:pPr>
            <w:jc w:val="right"/>
          </w:pPr>
          <w:r>
            <w:rPr>
              <w:noProof/>
            </w:rPr>
            <w:drawing>
              <wp:inline distT="0" distB="0" distL="0" distR="0" wp14:anchorId="1332FA67" wp14:editId="07777777">
                <wp:extent cx="495300" cy="400050"/>
                <wp:effectExtent l="0" t="0" r="0" b="0"/>
                <wp:docPr id="1444781585" name="Picture 144478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95300" cy="400050"/>
                        </a:xfrm>
                        <a:prstGeom prst="rect">
                          <a:avLst/>
                        </a:prstGeom>
                      </pic:spPr>
                    </pic:pic>
                  </a:graphicData>
                </a:graphic>
              </wp:inline>
            </w:drawing>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79E8" w:rsidRDefault="00D479E8" w14:paraId="04BEF4EA" w14:textId="77777777">
      <w:r>
        <w:separator/>
      </w:r>
    </w:p>
  </w:footnote>
  <w:footnote w:type="continuationSeparator" w:id="0">
    <w:p w:rsidR="00D479E8" w:rsidRDefault="00D479E8" w14:paraId="54525B5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21DC" w:rsidRDefault="004421DC" w14:paraId="27357532"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21DC" w:rsidRDefault="004421DC" w14:paraId="07F023C8"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000" w:type="pct"/>
      <w:tblBorders>
        <w:top w:val="none" w:color="FFFFFF" w:sz="0" w:space="0"/>
        <w:left w:val="none" w:color="FFFFFF" w:sz="0" w:space="0"/>
        <w:bottom w:val="single" w:color="E5E7EB" w:sz="4"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4932"/>
      <w:gridCol w:w="4933"/>
    </w:tblGrid>
    <w:tr w:rsidR="004421DC" w:rsidTr="7068594A" w14:paraId="77D7F75C" w14:textId="77777777">
      <w:tblPrEx>
        <w:tblCellMar>
          <w:top w:w="0" w:type="dxa"/>
          <w:bottom w:w="0" w:type="dxa"/>
        </w:tblCellMar>
      </w:tblPrEx>
      <w:tc>
        <w:tcPr>
          <w:tcW w:w="25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bottom w:w="120" w:type="dxa"/>
          </w:tcMar>
          <w:vAlign w:val="center"/>
        </w:tcPr>
        <w:p w:rsidR="004421DC" w:rsidRDefault="00D479E8" w14:paraId="74869460" w14:textId="77777777">
          <w:r>
            <w:rPr>
              <w:noProof/>
            </w:rPr>
            <w:drawing>
              <wp:inline distT="0" distB="0" distL="0" distR="0" wp14:anchorId="6EAA5860" wp14:editId="07777777">
                <wp:extent cx="742950" cy="257175"/>
                <wp:effectExtent l="0" t="0" r="0" b="0"/>
                <wp:docPr id="1052983770" name="Picture 1052983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42950" cy="257175"/>
                        </a:xfrm>
                        <a:prstGeom prst="rect">
                          <a:avLst/>
                        </a:prstGeom>
                      </pic:spPr>
                    </pic:pic>
                  </a:graphicData>
                </a:graphic>
              </wp:inline>
            </w:drawing>
          </w:r>
        </w:p>
      </w:tc>
      <w:tc>
        <w:tcPr>
          <w:tcW w:w="25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bottom w:w="120" w:type="dxa"/>
          </w:tcMar>
          <w:vAlign w:val="center"/>
        </w:tcPr>
        <w:p w:rsidR="004421DC" w:rsidRDefault="00D479E8" w14:paraId="2C650442" w14:textId="77777777">
          <w:pPr>
            <w:jc w:val="right"/>
          </w:pPr>
          <w:r w:rsidR="7068594A">
            <w:rPr>
              <w:color w:val="9CA3AF"/>
              <w:spacing w:val="6"/>
              <w:sz w:val="15"/>
              <w:szCs w:val="15"/>
            </w:rPr>
            <w:t>Digital Transformation Guide</w:t>
          </w:r>
        </w:p>
      </w:tc>
    </w:tr>
  </w:tbl>
</w:hdr>
</file>

<file path=word/intelligence2.xml><?xml version="1.0" encoding="utf-8"?>
<int2:intelligence xmlns:int2="http://schemas.microsoft.com/office/intelligence/2020/intelligence">
  <int2:observations>
    <int2:textHash int2:hashCode="ek39m4CIolce2E" int2:id="sSIdQHg3">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27B2A"/>
    <w:multiLevelType w:val="hybridMultilevel"/>
    <w:tmpl w:val="FFFFFFFF"/>
    <w:lvl w:ilvl="0" w:tplc="7B7A64BA">
      <w:start w:val="1"/>
      <w:numFmt w:val="bullet"/>
      <w:lvlText w:val="●"/>
      <w:lvlJc w:val="left"/>
      <w:pPr>
        <w:ind w:left="720" w:hanging="360"/>
      </w:pPr>
    </w:lvl>
    <w:lvl w:ilvl="1" w:tplc="BB8EEF18">
      <w:start w:val="1"/>
      <w:numFmt w:val="bullet"/>
      <w:lvlText w:val="○"/>
      <w:lvlJc w:val="left"/>
      <w:pPr>
        <w:ind w:left="1440" w:hanging="360"/>
      </w:pPr>
    </w:lvl>
    <w:lvl w:ilvl="2" w:tplc="0D04CCA4">
      <w:start w:val="1"/>
      <w:numFmt w:val="bullet"/>
      <w:lvlText w:val="■"/>
      <w:lvlJc w:val="left"/>
      <w:pPr>
        <w:ind w:left="2160" w:hanging="360"/>
      </w:pPr>
    </w:lvl>
    <w:lvl w:ilvl="3" w:tplc="4B54473A">
      <w:start w:val="1"/>
      <w:numFmt w:val="bullet"/>
      <w:lvlText w:val="●"/>
      <w:lvlJc w:val="left"/>
      <w:pPr>
        <w:ind w:left="2880" w:hanging="360"/>
      </w:pPr>
    </w:lvl>
    <w:lvl w:ilvl="4" w:tplc="D65C4048">
      <w:start w:val="1"/>
      <w:numFmt w:val="bullet"/>
      <w:lvlText w:val="○"/>
      <w:lvlJc w:val="left"/>
      <w:pPr>
        <w:ind w:left="3600" w:hanging="360"/>
      </w:pPr>
    </w:lvl>
    <w:lvl w:ilvl="5" w:tplc="78B8C93A">
      <w:start w:val="1"/>
      <w:numFmt w:val="bullet"/>
      <w:lvlText w:val="■"/>
      <w:lvlJc w:val="left"/>
      <w:pPr>
        <w:ind w:left="4320" w:hanging="360"/>
      </w:pPr>
    </w:lvl>
    <w:lvl w:ilvl="6" w:tplc="38CC4118">
      <w:start w:val="1"/>
      <w:numFmt w:val="bullet"/>
      <w:lvlText w:val="●"/>
      <w:lvlJc w:val="left"/>
      <w:pPr>
        <w:ind w:left="5040" w:hanging="360"/>
      </w:pPr>
    </w:lvl>
    <w:lvl w:ilvl="7" w:tplc="96DCE9CC">
      <w:start w:val="1"/>
      <w:numFmt w:val="bullet"/>
      <w:lvlText w:val="●"/>
      <w:lvlJc w:val="left"/>
      <w:pPr>
        <w:ind w:left="5760" w:hanging="360"/>
      </w:pPr>
    </w:lvl>
    <w:lvl w:ilvl="8" w:tplc="F0C451F4">
      <w:start w:val="1"/>
      <w:numFmt w:val="bullet"/>
      <w:lvlText w:val="●"/>
      <w:lvlJc w:val="left"/>
      <w:pPr>
        <w:ind w:left="6480" w:hanging="360"/>
      </w:pPr>
    </w:lvl>
  </w:abstractNum>
  <w:num w:numId="1" w16cid:durableId="1459254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1DC"/>
    <w:rsid w:val="004421DC"/>
    <w:rsid w:val="006564CC"/>
    <w:rsid w:val="00D479E8"/>
    <w:rsid w:val="022AD9C9"/>
    <w:rsid w:val="036FAE13"/>
    <w:rsid w:val="03F4169A"/>
    <w:rsid w:val="048D45AB"/>
    <w:rsid w:val="06250A29"/>
    <w:rsid w:val="129FDD35"/>
    <w:rsid w:val="159EF273"/>
    <w:rsid w:val="15ED2989"/>
    <w:rsid w:val="15ED2989"/>
    <w:rsid w:val="16D1970B"/>
    <w:rsid w:val="1CF7366A"/>
    <w:rsid w:val="1CF7366A"/>
    <w:rsid w:val="1E2E8FB4"/>
    <w:rsid w:val="1FE1FCB7"/>
    <w:rsid w:val="2275E27D"/>
    <w:rsid w:val="247520AA"/>
    <w:rsid w:val="24FCF6A9"/>
    <w:rsid w:val="27181FB4"/>
    <w:rsid w:val="274943B1"/>
    <w:rsid w:val="293C70D9"/>
    <w:rsid w:val="32568859"/>
    <w:rsid w:val="33F445DC"/>
    <w:rsid w:val="3498FEA9"/>
    <w:rsid w:val="35EB13AF"/>
    <w:rsid w:val="4099F084"/>
    <w:rsid w:val="4765F214"/>
    <w:rsid w:val="47FA9364"/>
    <w:rsid w:val="497FD424"/>
    <w:rsid w:val="4C0DACFD"/>
    <w:rsid w:val="5560E48F"/>
    <w:rsid w:val="556CA5DC"/>
    <w:rsid w:val="5771EDA0"/>
    <w:rsid w:val="5E4D17AE"/>
    <w:rsid w:val="675355CF"/>
    <w:rsid w:val="6D30AA75"/>
    <w:rsid w:val="6DCF3BB1"/>
    <w:rsid w:val="7044689E"/>
    <w:rsid w:val="7068594A"/>
    <w:rsid w:val="723A749B"/>
    <w:rsid w:val="73F5C9C3"/>
    <w:rsid w:val="7572CCBB"/>
    <w:rsid w:val="77A40B7D"/>
    <w:rsid w:val="7DDB5B5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CBA12EE"/>
  <w15:docId w15:val="{F7C5A0C7-BF04-4FDC-9C4C-EB71313C4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hAnsi="Helvetica Neue" w:eastAsia="Helvetica Neue" w:cs="Helvetica Neue"/>
        <w:color w:val="0F1B2D"/>
        <w:sz w:val="22"/>
        <w:szCs w:val="22"/>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eader" Target="header2.xml"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1.xml"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3.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header" Target="header3.xml" Id="rId15" /><Relationship Type="http://schemas.openxmlformats.org/officeDocument/2006/relationships/image" Target="media/image4.jp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footer" Target="footer2.xml" Id="rId14" /><Relationship Type="http://schemas.microsoft.com/office/2020/10/relationships/intelligence" Target="intelligence2.xml" Id="R90cb614b72494e4a" /></Relationships>
</file>

<file path=word/_rels/footer3.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Saurabh Sinha</lastModifiedBy>
  <revision>4</revision>
  <dcterms:created xsi:type="dcterms:W3CDTF">2026-08-20T20:43:00.0000000Z</dcterms:created>
  <dcterms:modified xsi:type="dcterms:W3CDTF">2026-08-26T11:24:43.3936133Z</dcterms:modified>
</coreProperties>
</file>