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w:t>
      </w:r>
      <w:r>
        <w:rPr>
          <w:rFonts w:hint="default" w:ascii="Times New Roman" w:hAnsi="Times New Roman" w:cs="Times New Roman"/>
          <w:color w:val="000000"/>
          <w:sz w:val="24"/>
          <w:szCs w:val="24"/>
          <w:lang w:val="en-US"/>
        </w:rPr>
        <w:t xml:space="preserve"> </w:t>
      </w:r>
      <w:r>
        <w:rPr>
          <w:rFonts w:hint="default" w:ascii="Times New Roman" w:hAnsi="Times New Roman" w:cs="Times New Roman"/>
          <w:color w:val="000000"/>
          <w:sz w:val="24"/>
          <w:szCs w:val="24"/>
        </w:rPr>
        <w:t>1 500 000 000 FCFA, immatriculée au Registre du Commerce et du Crédit Mobilier du TOGO, sous le numéro initia</w:t>
      </w:r>
      <w:r>
        <w:rPr>
          <w:rFonts w:hint="default" w:ascii="Times New Roman" w:hAnsi="Times New Roman" w:cs="Times New Roman"/>
          <w:color w:val="000000"/>
          <w:sz w:val="24"/>
          <w:szCs w:val="24"/>
          <w:lang w:val="en-US"/>
        </w:rPr>
        <w:t>l</w:t>
      </w:r>
      <w:r>
        <w:rPr>
          <w:rFonts w:hint="default" w:ascii="Times New Roman" w:hAnsi="Times New Roman" w:cs="Times New Roman"/>
          <w:color w:val="000000"/>
          <w:sz w:val="24"/>
          <w:szCs w:val="24"/>
        </w:rPr>
        <w:t xml:space="preserve">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.3 Les intérêts, et ce compris les intérêts de retard, porteront eux-mêmes intérêt au taux de pénalité en vigueur s'ils sont dus pour une année entière.</w:t>
      </w:r>
      <w:bookmarkStart w:id="9" w:name="_GoBack"/>
      <w:bookmarkEnd w:id="9"/>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43F73C7C"/>
    <w:rsid w:val="4AB96640"/>
    <w:rsid w:val="4BF20151"/>
    <w:rsid w:val="53EFE905"/>
    <w:rsid w:val="56FF3C94"/>
    <w:rsid w:val="5BFFE9F3"/>
    <w:rsid w:val="5E7DBCE1"/>
    <w:rsid w:val="5F5F49E8"/>
    <w:rsid w:val="5FB91502"/>
    <w:rsid w:val="6EEACA9B"/>
    <w:rsid w:val="6FFD4053"/>
    <w:rsid w:val="732B5A55"/>
    <w:rsid w:val="73D54DA6"/>
    <w:rsid w:val="76BE267C"/>
    <w:rsid w:val="7EFBFF20"/>
    <w:rsid w:val="7EFDAAC9"/>
    <w:rsid w:val="7F7B8319"/>
    <w:rsid w:val="7FBED1B7"/>
    <w:rsid w:val="7FDB0B93"/>
    <w:rsid w:val="7FDBEA3C"/>
    <w:rsid w:val="87FD2C54"/>
    <w:rsid w:val="8F7FDF3E"/>
    <w:rsid w:val="9D4FC326"/>
    <w:rsid w:val="ABBE5020"/>
    <w:rsid w:val="BBFF5547"/>
    <w:rsid w:val="BECBEC3C"/>
    <w:rsid w:val="BF6FCF10"/>
    <w:rsid w:val="D2F25249"/>
    <w:rsid w:val="D6BFB695"/>
    <w:rsid w:val="DCFD5742"/>
    <w:rsid w:val="DDFBF712"/>
    <w:rsid w:val="DEE64D07"/>
    <w:rsid w:val="DEF3B877"/>
    <w:rsid w:val="DEFEC8F1"/>
    <w:rsid w:val="DFBF2DFA"/>
    <w:rsid w:val="DFCDEE20"/>
    <w:rsid w:val="EBB6E2A7"/>
    <w:rsid w:val="ECFFF13D"/>
    <w:rsid w:val="EF475F48"/>
    <w:rsid w:val="EFF7D077"/>
    <w:rsid w:val="EFFB2F40"/>
    <w:rsid w:val="EFFEBE6F"/>
    <w:rsid w:val="F27340C8"/>
    <w:rsid w:val="F3F5B44E"/>
    <w:rsid w:val="F4DE0825"/>
    <w:rsid w:val="F5BDDAAD"/>
    <w:rsid w:val="F5EE7DED"/>
    <w:rsid w:val="F7DF2FEF"/>
    <w:rsid w:val="F7FF7A60"/>
    <w:rsid w:val="FB583F70"/>
    <w:rsid w:val="FBAF60F4"/>
    <w:rsid w:val="FD77AF8B"/>
    <w:rsid w:val="FDF7CA15"/>
    <w:rsid w:val="FED3C1C8"/>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33</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2025-07-14T09:22:35Z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