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Société Anonyme avec Conseil d’Administration au capital de  500.000.000 FCFA, immatriculée au Registre du Commerce et du Crédit Mobilier du TOGO, sous le numéro initial TOGO-LOME TG-LOM 2018 B2536, Agrément Numéro 36 et inscrite sur la liste de l’APSFD sous le numéro T/1/GFLM/2019/257A,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Pascal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bookmarkStart w:id="6" w:name="_GoBack"/>
      <w:bookmarkEnd w:id="6"/>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r>
        <w:rPr>
          <w:rFonts w:hint="default" w:ascii="Times New Roman" w:hAnsi="Times New Roman" w:cs="Times New Roman"/>
          <w:b/>
          <w:sz w:val="24"/>
          <w:szCs w:val="24"/>
        </w:rPr>
        <w:t>Prime d’assurance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rPr>
        <w:t xml:space="preserve">: </w:t>
      </w:r>
      <w:r>
        <w:rPr>
          <w:rFonts w:hint="default" w:ascii="Times New Roman" w:hAnsi="Times New Roman" w:cs="Times New Roman"/>
          <w:b/>
          <w:sz w:val="24"/>
          <w:szCs w:val="24"/>
          <w:lang w:val="en-US"/>
        </w:rPr>
        <w:t>S</w:t>
      </w:r>
      <w:r>
        <w:rPr>
          <w:rFonts w:hint="default" w:ascii="Times New Roman" w:hAnsi="Times New Roman" w:cs="Times New Roman"/>
          <w:b/>
          <w:sz w:val="24"/>
          <w:szCs w:val="24"/>
        </w:rPr>
        <w:t>elon la grille de l’assureur</w:t>
      </w:r>
    </w:p>
    <w:p>
      <w:pPr>
        <w:tabs>
          <w:tab w:val="left" w:pos="708"/>
          <w:tab w:val="left" w:pos="1416"/>
          <w:tab w:val="left" w:pos="2124"/>
          <w:tab w:val="left" w:pos="2748"/>
          <w:tab w:val="left" w:pos="3708"/>
        </w:tabs>
        <w:spacing w:line="240" w:lineRule="auto"/>
        <w:jc w:val="both"/>
        <w:rPr>
          <w:rFonts w:hint="default" w:cs="Times New Roman"/>
          <w:b/>
          <w:sz w:val="24"/>
          <w:szCs w:val="24"/>
          <w:lang w:val="en-US"/>
        </w:rPr>
      </w:pPr>
      <w:r>
        <w:rPr>
          <w:rFonts w:hint="default" w:cs="Times New Roman"/>
          <w:b/>
          <w:sz w:val="24"/>
          <w:szCs w:val="24"/>
          <w:lang w:val="en-US"/>
        </w:rPr>
        <w:tab/>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${line_risk_premium_percentage_value}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D7FF97"/>
    <w:rsid w:val="35EEB0E4"/>
    <w:rsid w:val="37D613CE"/>
    <w:rsid w:val="37FEBD8C"/>
    <w:rsid w:val="3DFE1F49"/>
    <w:rsid w:val="3ED6DE3D"/>
    <w:rsid w:val="3EDF13FB"/>
    <w:rsid w:val="3F71A17E"/>
    <w:rsid w:val="3FCB6471"/>
    <w:rsid w:val="4DBE0AEF"/>
    <w:rsid w:val="52BD2209"/>
    <w:rsid w:val="577F5B0B"/>
    <w:rsid w:val="5BB95682"/>
    <w:rsid w:val="5C7862AD"/>
    <w:rsid w:val="5E5F877C"/>
    <w:rsid w:val="5EEE4389"/>
    <w:rsid w:val="67BBDBB0"/>
    <w:rsid w:val="6DF584C6"/>
    <w:rsid w:val="6FFA7788"/>
    <w:rsid w:val="71A684D3"/>
    <w:rsid w:val="75DD5B19"/>
    <w:rsid w:val="777F1FE1"/>
    <w:rsid w:val="77F644CD"/>
    <w:rsid w:val="79DA692C"/>
    <w:rsid w:val="7BFE1D29"/>
    <w:rsid w:val="7DBD25E1"/>
    <w:rsid w:val="7DFF82D3"/>
    <w:rsid w:val="7F7D58A0"/>
    <w:rsid w:val="7FA7E135"/>
    <w:rsid w:val="7FCF7DC2"/>
    <w:rsid w:val="7FDDBD7B"/>
    <w:rsid w:val="7FE7FD22"/>
    <w:rsid w:val="7FFB5C6D"/>
    <w:rsid w:val="7FFECBF0"/>
    <w:rsid w:val="7FFFBA8E"/>
    <w:rsid w:val="7FFFBCF6"/>
    <w:rsid w:val="877BD08D"/>
    <w:rsid w:val="8F8FE0FE"/>
    <w:rsid w:val="8FFB8796"/>
    <w:rsid w:val="8FFBE189"/>
    <w:rsid w:val="A93FACCB"/>
    <w:rsid w:val="AF7B70C1"/>
    <w:rsid w:val="B6F63F87"/>
    <w:rsid w:val="B7BF1FCB"/>
    <w:rsid w:val="BE4B6172"/>
    <w:rsid w:val="BFFDF065"/>
    <w:rsid w:val="E21DE2B9"/>
    <w:rsid w:val="EBDF2626"/>
    <w:rsid w:val="F37F3685"/>
    <w:rsid w:val="F57F360C"/>
    <w:rsid w:val="F7CF33BD"/>
    <w:rsid w:val="FB5391E6"/>
    <w:rsid w:val="FBD6EDC7"/>
    <w:rsid w:val="FBD7D3B7"/>
    <w:rsid w:val="FCD5E2E2"/>
    <w:rsid w:val="FDEE4273"/>
    <w:rsid w:val="FDFB69EE"/>
    <w:rsid w:val="FE7E157E"/>
    <w:rsid w:val="FFDD7F2E"/>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2025-02-11T10:57:57Z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