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hint="default" w:ascii="Times New Roman" w:hAnsi="Times New Roman" w:cs="Times New Roman"/>
          <w:b/>
          <w:bCs/>
          <w:i/>
          <w:iCs/>
          <w:sz w:val="22"/>
          <w:szCs w:val="22"/>
        </w:rPr>
      </w:pPr>
    </w:p>
    <w:p>
      <w:pPr>
        <w:tabs>
          <w:tab w:val="left" w:pos="4215"/>
          <w:tab w:val="center" w:pos="4536"/>
        </w:tabs>
        <w:jc w:val="both"/>
        <w:rPr>
          <w:rFonts w:hint="default" w:ascii="Times New Roman" w:hAnsi="Times New Roman" w:cs="Times New Roman"/>
          <w:b/>
          <w:bCs/>
          <w:i/>
          <w:iCs/>
          <w:sz w:val="22"/>
          <w:szCs w:val="22"/>
        </w:rPr>
      </w:pPr>
      <w:r>
        <w:rPr>
          <w:rFonts w:hint="default" w:ascii="Times New Roman" w:hAnsi="Times New Roman" w:cs="Times New Roman"/>
          <w:b/>
          <w:bCs/>
          <w:i/>
          <w:iCs/>
          <w:sz w:val="22"/>
          <w:szCs w:val="22"/>
        </w:rPr>
        <mc:AlternateContent>
          <mc:Choice Requires="wps">
            <w:drawing>
              <wp:anchor distT="0" distB="0" distL="114300" distR="114300" simplePos="0" relativeHeight="251659264" behindDoc="0" locked="0" layoutInCell="1" allowOverlap="1">
                <wp:simplePos x="0" y="0"/>
                <wp:positionH relativeFrom="column">
                  <wp:posOffset>1143000</wp:posOffset>
                </wp:positionH>
                <wp:positionV relativeFrom="paragraph">
                  <wp:posOffset>41275</wp:posOffset>
                </wp:positionV>
                <wp:extent cx="3086100" cy="342900"/>
                <wp:effectExtent l="13970" t="78105" r="71755" b="7620"/>
                <wp:wrapNone/>
                <wp:docPr id="1" name="Rectangle 3"/>
                <wp:cNvGraphicFramePr/>
                <a:graphic xmlns:a="http://schemas.openxmlformats.org/drawingml/2006/main">
                  <a:graphicData uri="http://schemas.microsoft.com/office/word/2010/wordprocessingShape">
                    <wps:wsp>
                      <wps:cNvSpPr>
                        <a:spLocks noChangeArrowheads="1"/>
                      </wps:cNvSpPr>
                      <wps:spPr bwMode="auto">
                        <a:xfrm>
                          <a:off x="0" y="0"/>
                          <a:ext cx="3086100" cy="342900"/>
                        </a:xfrm>
                        <a:prstGeom prst="rect">
                          <a:avLst/>
                        </a:prstGeom>
                        <a:solidFill>
                          <a:srgbClr val="FFFFFF"/>
                        </a:solidFill>
                        <a:ln w="9525">
                          <a:solidFill>
                            <a:srgbClr val="000000"/>
                          </a:solidFill>
                          <a:miter lim="800000"/>
                        </a:ln>
                        <a:effectLst>
                          <a:outerShdw dist="107763" dir="18900000" algn="ctr" rotWithShape="0">
                            <a:srgbClr val="808080">
                              <a:alpha val="50000"/>
                            </a:srgbClr>
                          </a:outerShdw>
                        </a:effectLst>
                      </wps:spPr>
                      <wps:txb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rot="0" vert="horz" wrap="square" lIns="91440" tIns="45720" rIns="91440" bIns="45720" anchor="t" anchorCtr="0" upright="1">
                        <a:noAutofit/>
                      </wps:bodyPr>
                    </wps:wsp>
                  </a:graphicData>
                </a:graphic>
              </wp:anchor>
            </w:drawing>
          </mc:Choice>
          <mc:Fallback>
            <w:pict>
              <v:rect id="Rectangle 3" o:spid="_x0000_s1026" o:spt="1" style="position:absolute;left:0pt;margin-left:90pt;margin-top:3.25pt;height:27pt;width:243pt;z-index:251659264;mso-width-relative:page;mso-height-relative:page;" fillcolor="#FFFFFF" filled="t" stroked="t" coordsize="21600,21600" o:gfxdata="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">
                <v:fill on="t" focussize="0,0"/>
                <v:stroke color="#000000" miterlimit="8" joinstyle="miter"/>
                <v:imagedata o:title=""/>
                <o:lock v:ext="edit" aspectratio="f"/>
                <v:shadow on="t" color="#808080" opacity="32768f" offset="6pt,-6pt" origin="0f,0f" matrix="65536f,0f,0f,65536f"/>
                <v:textbo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both"/>
        <w:rPr>
          <w:rFonts w:hint="default" w:ascii="Times New Roman" w:hAnsi="Times New Roman" w:cs="Times New Roman"/>
          <w:i/>
          <w:iCs/>
          <w:sz w:val="22"/>
          <w:szCs w:val="22"/>
        </w:rPr>
      </w:pPr>
    </w:p>
    <w:p>
      <w:pPr>
        <w:tabs>
          <w:tab w:val="left" w:pos="1695"/>
        </w:tabs>
        <w:jc w:val="both"/>
        <w:rPr>
          <w:rFonts w:hint="default" w:ascii="Times New Roman" w:hAnsi="Times New Roman" w:cs="Times New Roman"/>
          <w:b/>
          <w:bCs/>
          <w:sz w:val="22"/>
          <w:szCs w:val="22"/>
          <w:u w:val="single"/>
        </w:rPr>
      </w:pPr>
    </w:p>
    <w:p>
      <w:pPr>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ENTRE-LES SOUSSIGNES</w:t>
      </w:r>
    </w:p>
    <w:p>
      <w:pPr>
        <w:ind w:right="-141"/>
        <w:jc w:val="both"/>
        <w:rPr>
          <w:rFonts w:hint="default" w:ascii="Times New Roman" w:hAnsi="Times New Roman" w:cs="Times New Roman"/>
          <w:sz w:val="22"/>
          <w:szCs w:val="22"/>
        </w:rPr>
      </w:pPr>
    </w:p>
    <w:p>
      <w:pPr>
        <w:jc w:val="both"/>
        <w:rPr>
          <w:rFonts w:hint="default" w:ascii="Times New Roman" w:hAnsi="Times New Roman" w:cs="Times New Roman"/>
          <w:color w:val="000000"/>
        </w:rPr>
      </w:pPr>
      <w:r>
        <w:rPr>
          <w:rFonts w:hint="default" w:ascii="Times New Roman" w:hAnsi="Times New Roman" w:cs="Times New Roman"/>
          <w:b/>
          <w:color w:val="000000"/>
        </w:rPr>
        <w:t>COMPAGNIE FINANCIERE AFRICAINE (COFINA) Togo SA</w:t>
      </w:r>
      <w:r>
        <w:rPr>
          <w:rFonts w:hint="default" w:ascii="Times New Roman" w:hAnsi="Times New Roman"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rPr>
        <w:t>Numéro 36 et inscrite sur la liste de l’APSFD sous le numéro T/1/GFLM/2019/257A</w:t>
      </w:r>
      <w:r>
        <w:rPr>
          <w:rFonts w:hint="default" w:ascii="Times New Roman" w:hAnsi="Times New Roman" w:cs="Times New Roman"/>
          <w:color w:val="000000"/>
        </w:rPr>
        <w:t>, dont le siège social est situé à LOME (TOGO</w:t>
      </w:r>
      <w:bookmarkStart w:id="0" w:name="_Hlk66259236"/>
      <w:r>
        <w:rPr>
          <w:rFonts w:hint="default" w:ascii="Times New Roman" w:hAnsi="Times New Roman" w:cs="Times New Roman"/>
          <w:color w:val="000000"/>
        </w:rPr>
        <w:t>), Boulevard du 13 Janvier, Quartier Kodjoviakope, 07 BP : 7499 Lomé-TOGO</w:t>
      </w:r>
      <w:bookmarkEnd w:id="0"/>
      <w:r>
        <w:rPr>
          <w:rFonts w:hint="default" w:ascii="Times New Roman" w:hAnsi="Times New Roman" w:cs="Times New Roman"/>
          <w:color w:val="000000"/>
        </w:rPr>
        <w:t xml:space="preserve">, Tel : 00 228 22 23 68 68/ 00 228 22 23 68 60,  </w:t>
      </w:r>
    </w:p>
    <w:p>
      <w:pPr>
        <w:jc w:val="both"/>
        <w:rPr>
          <w:rFonts w:hint="default" w:ascii="Times New Roman" w:hAnsi="Times New Roman" w:cs="Times New Roman"/>
          <w:color w:val="000000"/>
        </w:rPr>
      </w:pPr>
    </w:p>
    <w:p>
      <w:pPr>
        <w:jc w:val="both"/>
        <w:rPr>
          <w:rFonts w:hint="default" w:ascii="Times New Roman" w:hAnsi="Times New Roman" w:cs="Times New Roman"/>
          <w:sz w:val="22"/>
          <w:szCs w:val="22"/>
        </w:rPr>
      </w:pPr>
      <w:r>
        <w:rPr>
          <w:rFonts w:hint="default" w:ascii="Times New Roman" w:hAnsi="Times New Roman" w:cs="Times New Roman"/>
          <w:bCs/>
          <w:iCs/>
          <w:color w:val="000000"/>
        </w:rPr>
        <w:t xml:space="preserve">Représentée par </w:t>
      </w:r>
      <w:r>
        <w:rPr>
          <w:rFonts w:hint="default" w:ascii="Times New Roman" w:hAnsi="Times New Roman" w:cs="Times New Roman"/>
          <w:b/>
          <w:bCs/>
          <w:iCs/>
          <w:color w:val="000000"/>
        </w:rPr>
        <w:t>Monsieur</w:t>
      </w:r>
      <w:r>
        <w:rPr>
          <w:rFonts w:hint="default" w:ascii="Times New Roman" w:hAnsi="Times New Roman" w:cs="Times New Roman"/>
          <w:bCs/>
          <w:iCs/>
          <w:color w:val="000000"/>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color w:val="000000"/>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rPr>
        <w:t>,</w:t>
      </w:r>
      <w:r>
        <w:rPr>
          <w:rFonts w:hint="default" w:ascii="Times New Roman" w:hAnsi="Times New Roman" w:cs="Times New Roman"/>
          <w:b/>
          <w:bCs/>
          <w:iCs/>
          <w:color w:val="000000"/>
        </w:rPr>
        <w:t> </w:t>
      </w:r>
      <w:r>
        <w:rPr>
          <w:rFonts w:hint="default" w:ascii="Times New Roman" w:hAnsi="Times New Roman" w:cs="Times New Roman"/>
          <w:bCs/>
          <w:iCs/>
          <w:color w:val="000000"/>
        </w:rPr>
        <w:t>vertu d’un acte reçu par Me Afiavi S. do REGO-d’Almeida, Notaire à Lomé,</w:t>
      </w:r>
      <w:bookmarkStart w:id="6" w:name="_GoBack"/>
      <w:bookmarkEnd w:id="6"/>
    </w:p>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i/>
          <w:iCs/>
          <w:sz w:val="22"/>
          <w:szCs w:val="22"/>
        </w:rPr>
      </w:pPr>
      <w:r>
        <w:rPr>
          <w:rFonts w:hint="default" w:ascii="Times New Roman" w:hAnsi="Times New Roman" w:cs="Times New Roman"/>
          <w:sz w:val="22"/>
          <w:szCs w:val="22"/>
        </w:rPr>
        <w:t xml:space="preserve">Ci-après dénommée « </w:t>
      </w:r>
      <w:r>
        <w:rPr>
          <w:rFonts w:hint="default" w:ascii="Times New Roman" w:hAnsi="Times New Roman" w:cs="Times New Roman"/>
          <w:b/>
          <w:bCs/>
          <w:sz w:val="22"/>
          <w:szCs w:val="22"/>
        </w:rPr>
        <w:t xml:space="preserve">COFINA TOGO SA », </w:t>
      </w:r>
      <w:r>
        <w:rPr>
          <w:rFonts w:hint="default" w:ascii="Times New Roman" w:hAnsi="Times New Roman" w:cs="Times New Roman"/>
          <w:b/>
          <w:bCs/>
          <w:i/>
          <w:iCs/>
          <w:sz w:val="22"/>
          <w:szCs w:val="22"/>
        </w:rPr>
        <w:t>d’une part</w:t>
      </w:r>
      <w:r>
        <w:rPr>
          <w:rFonts w:hint="default" w:ascii="Times New Roman" w:hAnsi="Times New Roman" w:cs="Times New Roman"/>
          <w:i/>
          <w:iCs/>
          <w:sz w:val="22"/>
          <w:szCs w:val="22"/>
        </w:rPr>
        <w:t>,</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ET</w:t>
      </w:r>
    </w:p>
    <w:p>
      <w:pPr>
        <w:autoSpaceDE w:val="0"/>
        <w:autoSpaceDN w:val="0"/>
        <w:adjustRightInd w:val="0"/>
        <w:ind w:right="-141"/>
        <w:jc w:val="both"/>
        <w:rPr>
          <w:rFonts w:hint="default" w:ascii="Times New Roman" w:hAnsi="Times New Roman" w:cs="Times New Roman"/>
          <w:b/>
          <w:i/>
          <w:iCs/>
          <w:sz w:val="22"/>
          <w:szCs w:val="22"/>
        </w:rPr>
      </w:pPr>
    </w:p>
    <w:p>
      <w:pPr>
        <w:autoSpaceDE w:val="0"/>
        <w:autoSpaceDN w:val="0"/>
        <w:adjustRightInd w:val="0"/>
        <w:ind w:right="-141"/>
        <w:jc w:val="both"/>
        <w:rPr>
          <w:rFonts w:hint="default" w:ascii="Times New Roman" w:hAnsi="Times New Roman" w:cs="Times New Roman"/>
          <w:highlight w:val="none"/>
          <w:lang w:val="en-US"/>
        </w:rPr>
      </w:pPr>
      <w:bookmarkStart w:id="1" w:name="_Hlk131079885"/>
      <w:r>
        <w:rPr>
          <w:rFonts w:hint="default" w:cs="Times New Roman"/>
          <w:b/>
          <w:bCs/>
          <w:highlight w:val="none"/>
          <w:lang w:val="en-US"/>
        </w:rPr>
        <w:t>${civility}</w:t>
      </w:r>
      <w:r>
        <w:rPr>
          <w:rFonts w:hint="default" w:ascii="Times New Roman" w:hAnsi="Times New Roman" w:cs="Times New Roman"/>
          <w:b/>
          <w:bCs/>
          <w:highlight w:val="none"/>
        </w:rPr>
        <w:t xml:space="preserve"> </w:t>
      </w:r>
      <w:r>
        <w:rPr>
          <w:rFonts w:hint="default" w:cs="Times New Roman"/>
          <w:b/>
          <w:bCs/>
          <w:highlight w:val="none"/>
          <w:lang w:val="en-US"/>
        </w:rPr>
        <w:t>${last_name} ${first_name}, née le</w:t>
      </w:r>
      <w:r>
        <w:rPr>
          <w:rFonts w:hint="default" w:ascii="Times New Roman" w:hAnsi="Times New Roman" w:cs="Times New Roman"/>
          <w:b/>
          <w:bCs/>
          <w:highlight w:val="none"/>
        </w:rPr>
        <w:t xml:space="preserve"> </w:t>
      </w:r>
      <w:r>
        <w:rPr>
          <w:rFonts w:hint="default" w:cs="Times New Roman"/>
          <w:b/>
          <w:bCs/>
          <w:highlight w:val="none"/>
          <w:lang w:val="en-US"/>
        </w:rPr>
        <w:t>${birth_date_fr} à ${birth_place}</w:t>
      </w:r>
      <w:r>
        <w:rPr>
          <w:rFonts w:hint="default" w:ascii="Times New Roman" w:hAnsi="Times New Roman" w:cs="Times New Roman"/>
          <w:b/>
          <w:bCs/>
          <w:highlight w:val="none"/>
        </w:rPr>
        <w:t xml:space="preserve">, de nationalité </w:t>
      </w:r>
      <w:r>
        <w:rPr>
          <w:rFonts w:hint="default" w:cs="Times New Roman"/>
          <w:b/>
          <w:bCs/>
          <w:highlight w:val="none"/>
          <w:lang w:val="en-US"/>
        </w:rPr>
        <w:t>${nationality}</w:t>
      </w:r>
      <w:r>
        <w:rPr>
          <w:rFonts w:hint="default" w:ascii="Times New Roman" w:hAnsi="Times New Roman" w:cs="Times New Roman"/>
          <w:b/>
          <w:bCs/>
          <w:highlight w:val="none"/>
        </w:rPr>
        <w:t xml:space="preserve"> domicilié à </w:t>
      </w:r>
      <w:r>
        <w:rPr>
          <w:rFonts w:hint="default" w:cs="Times New Roman"/>
          <w:b/>
          <w:bCs/>
          <w:highlight w:val="none"/>
          <w:lang w:val="en-US"/>
        </w:rPr>
        <w:t>${home_address}</w:t>
      </w:r>
      <w:r>
        <w:rPr>
          <w:rFonts w:hint="default" w:ascii="Times New Roman" w:hAnsi="Times New Roman" w:cs="Times New Roman"/>
          <w:b/>
          <w:bCs/>
          <w:highlight w:val="none"/>
        </w:rPr>
        <w:t xml:space="preserve"> et titulaire </w:t>
      </w:r>
      <w:r>
        <w:rPr>
          <w:rFonts w:hint="default" w:cs="Times New Roman"/>
          <w:b/>
          <w:bCs/>
          <w:highlight w:val="none"/>
          <w:lang w:val="en-US"/>
        </w:rPr>
        <w:t>${type_of_identity_document}</w:t>
      </w:r>
      <w:r>
        <w:rPr>
          <w:rFonts w:hint="default" w:ascii="Times New Roman" w:hAnsi="Times New Roman" w:cs="Times New Roman"/>
          <w:b/>
          <w:bCs/>
          <w:highlight w:val="none"/>
        </w:rPr>
        <w:t xml:space="preserve"> ${number_of_identity_document} délivrée le ${date_of_issue_of_identity_document</w:t>
      </w:r>
      <w:r>
        <w:rPr>
          <w:rFonts w:hint="default" w:cs="Times New Roman"/>
          <w:b/>
          <w:bCs/>
          <w:highlight w:val="none"/>
          <w:lang w:val="en-US"/>
        </w:rPr>
        <w:t>_fr</w:t>
      </w:r>
      <w:r>
        <w:rPr>
          <w:rFonts w:hint="default" w:ascii="Times New Roman" w:hAnsi="Times New Roman" w:cs="Times New Roman"/>
          <w:b/>
          <w:bCs/>
          <w:highlight w:val="none"/>
        </w:rPr>
        <w:t>} Fonction : ${function}, Tél : ${phone_number}</w:t>
      </w:r>
      <w:r>
        <w:rPr>
          <w:rFonts w:hint="default" w:cs="Times New Roman"/>
          <w:b/>
          <w:bCs/>
          <w:highlight w:val="none"/>
          <w:lang w:val="en-US"/>
        </w:rPr>
        <w:t>.</w:t>
      </w:r>
    </w:p>
    <w:bookmarkEnd w:id="1"/>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b/>
          <w:bCs/>
          <w:i/>
          <w:iCs/>
          <w:sz w:val="22"/>
          <w:szCs w:val="22"/>
        </w:rPr>
      </w:pPr>
      <w:r>
        <w:rPr>
          <w:rFonts w:hint="default" w:ascii="Times New Roman" w:hAnsi="Times New Roman" w:cs="Times New Roman"/>
          <w:sz w:val="22"/>
          <w:szCs w:val="22"/>
        </w:rPr>
        <w:t xml:space="preserve">Ci-après dénommée </w:t>
      </w:r>
      <w:r>
        <w:rPr>
          <w:rFonts w:hint="default" w:ascii="Times New Roman" w:hAnsi="Times New Roman" w:cs="Times New Roman"/>
          <w:b/>
          <w:bCs/>
          <w:sz w:val="22"/>
          <w:szCs w:val="22"/>
        </w:rPr>
        <w:t xml:space="preserve">« la Caution » </w:t>
      </w:r>
      <w:r>
        <w:rPr>
          <w:rFonts w:hint="default" w:ascii="Times New Roman" w:hAnsi="Times New Roman" w:cs="Times New Roman"/>
          <w:b/>
          <w:bCs/>
          <w:i/>
          <w:iCs/>
          <w:sz w:val="22"/>
          <w:szCs w:val="22"/>
        </w:rPr>
        <w:t>d’autre part</w:t>
      </w:r>
    </w:p>
    <w:p>
      <w:pPr>
        <w:ind w:right="-141"/>
        <w:jc w:val="both"/>
        <w:rPr>
          <w:rFonts w:hint="default" w:ascii="Times New Roman" w:hAnsi="Times New Roman" w:cs="Times New Roman"/>
          <w:b/>
          <w:bCs/>
          <w:i/>
          <w:iCs/>
          <w:sz w:val="22"/>
          <w:szCs w:val="22"/>
        </w:rPr>
      </w:pPr>
    </w:p>
    <w:p>
      <w:pPr>
        <w:rPr>
          <w:rFonts w:hint="default" w:ascii="Times New Roman" w:hAnsi="Times New Roman" w:cs="Times New Roman"/>
          <w:b/>
          <w:bCs/>
          <w:sz w:val="22"/>
          <w:szCs w:val="22"/>
        </w:rPr>
      </w:pPr>
      <w:r>
        <w:rPr>
          <w:rFonts w:hint="default" w:ascii="Times New Roman" w:hAnsi="Times New Roman" w:cs="Times New Roman"/>
          <w:b/>
          <w:bCs/>
          <w:sz w:val="22"/>
          <w:szCs w:val="22"/>
        </w:rPr>
        <w:br w:type="page"/>
      </w:r>
    </w:p>
    <w:p>
      <w:pPr>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Il a été convenu et arrêté ce qui suit :</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Premier</w:t>
      </w:r>
      <w:r>
        <w:rPr>
          <w:rFonts w:hint="default" w:ascii="Times New Roman" w:hAnsi="Times New Roman" w:cs="Times New Roman"/>
          <w:b/>
          <w:bCs/>
          <w:sz w:val="22"/>
          <w:szCs w:val="22"/>
        </w:rPr>
        <w:t xml:space="preserve">. </w:t>
      </w:r>
      <w:r>
        <w:rPr>
          <w:rFonts w:hint="default" w:ascii="Times New Roman" w:hAnsi="Times New Roman" w:cs="Times New Roman"/>
          <w:b/>
          <w:bCs/>
          <w:i/>
          <w:iCs/>
          <w:sz w:val="22"/>
          <w:szCs w:val="22"/>
        </w:rPr>
        <w:t xml:space="preserve">– </w:t>
      </w:r>
      <w:r>
        <w:rPr>
          <w:rFonts w:hint="default" w:ascii="Times New Roman" w:hAnsi="Times New Roman" w:cs="Times New Roman"/>
          <w:b/>
          <w:bCs/>
          <w:sz w:val="22"/>
          <w:szCs w:val="22"/>
        </w:rPr>
        <w:t xml:space="preserve">OBJET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iCs/>
          <w:color w:val="000000"/>
          <w:highlight w:val="none"/>
        </w:rPr>
      </w:pPr>
      <w:r>
        <w:rPr>
          <w:rFonts w:hint="default" w:cs="Times New Roman"/>
          <w:b/>
          <w:bCs/>
          <w:highlight w:val="none"/>
          <w:lang w:val="en-US"/>
        </w:rPr>
        <w:t>${civility}</w:t>
      </w:r>
      <w:r>
        <w:rPr>
          <w:rFonts w:hint="default" w:ascii="Times New Roman" w:hAnsi="Times New Roman" w:cs="Times New Roman"/>
          <w:b/>
          <w:bCs/>
          <w:highlight w:val="none"/>
        </w:rPr>
        <w:t xml:space="preserve"> - </w:t>
      </w:r>
      <w:r>
        <w:rPr>
          <w:rFonts w:hint="default" w:cs="Times New Roman"/>
          <w:b/>
          <w:bCs/>
          <w:highlight w:val="none"/>
          <w:lang w:val="en-US"/>
        </w:rPr>
        <w:t>${last_name} ${first_name}</w:t>
      </w:r>
      <w:r>
        <w:rPr>
          <w:rFonts w:hint="default" w:ascii="Times New Roman" w:hAnsi="Times New Roman" w:cs="Times New Roman"/>
          <w:b/>
          <w:bCs/>
          <w:highlight w:val="none"/>
        </w:rPr>
        <w:t xml:space="preserve"> </w:t>
      </w:r>
      <w:r>
        <w:rPr>
          <w:rFonts w:hint="default" w:ascii="Times New Roman" w:hAnsi="Times New Roman" w:cs="Times New Roman"/>
          <w:sz w:val="22"/>
          <w:szCs w:val="22"/>
          <w:highlight w:val="none"/>
        </w:rPr>
        <w:t>se porte Caution aux fins de garantir à titre personnel et solidaire, le remboursement de toutes les sommes dont la cautionnée</w:t>
      </w:r>
      <w:r>
        <w:rPr>
          <w:rFonts w:hint="default" w:ascii="Times New Roman" w:hAnsi="Times New Roman" w:eastAsia="Calibri" w:cs="Times New Roman"/>
          <w:b/>
          <w:bCs/>
          <w:color w:val="000000"/>
          <w:sz w:val="22"/>
          <w:szCs w:val="22"/>
          <w:highlight w:val="none"/>
          <w:lang w:eastAsia="en-US"/>
        </w:rPr>
        <w:t xml:space="preserve"> </w:t>
      </w:r>
      <w:r>
        <w:rPr>
          <w:rFonts w:hint="default" w:ascii="Times New Roman" w:hAnsi="Times New Roman"/>
          <w:b/>
          <w:highlight w:val="none"/>
        </w:rPr>
        <w:t>${company.denomination}</w:t>
      </w:r>
      <w:r>
        <w:rPr>
          <w:rFonts w:hint="default" w:ascii="Times New Roman" w:hAnsi="Times New Roman" w:cs="Times New Roman"/>
          <w:b/>
          <w:bCs/>
          <w:iCs/>
          <w:color w:val="000000"/>
          <w:highlight w:val="none"/>
        </w:rPr>
        <w:t xml:space="preserve"> </w:t>
      </w:r>
      <w:r>
        <w:rPr>
          <w:rFonts w:hint="default" w:ascii="Times New Roman" w:hAnsi="Times New Roman" w:cs="Times New Roman"/>
          <w:sz w:val="22"/>
          <w:szCs w:val="22"/>
          <w:highlight w:val="none"/>
        </w:rPr>
        <w:t xml:space="preserve">client titulaire du compte </w:t>
      </w:r>
      <w:bookmarkStart w:id="2" w:name="_Hlk71196002"/>
      <w:r>
        <w:rPr>
          <w:rFonts w:hint="default" w:ascii="Times New Roman" w:hAnsi="Times New Roman" w:cs="Times New Roman"/>
          <w:b/>
          <w:sz w:val="22"/>
          <w:szCs w:val="22"/>
          <w:highlight w:val="none"/>
        </w:rPr>
        <w:t>N°</w:t>
      </w:r>
      <w:bookmarkEnd w:id="2"/>
      <w:r>
        <w:rPr>
          <w:rFonts w:hint="default" w:ascii="Times New Roman" w:hAnsi="Times New Roman" w:cs="Times New Roman"/>
          <w:b/>
          <w:sz w:val="22"/>
          <w:szCs w:val="22"/>
          <w:highlight w:val="none"/>
        </w:rPr>
        <w:t xml:space="preserve"> ${contract.verbal_trial.account_number} </w:t>
      </w:r>
      <w:r>
        <w:rPr>
          <w:rFonts w:hint="default" w:ascii="Times New Roman" w:hAnsi="Times New Roman" w:cs="Times New Roman"/>
          <w:sz w:val="22"/>
          <w:szCs w:val="22"/>
          <w:highlight w:val="none"/>
        </w:rPr>
        <w:t>ouvert dans les livres de COFINA Togo SA, se trouve ou pourrait se trouver débiteur à raison du prêt qui lui est consenti, jusqu’à concurrence d’un montant maximum de</w:t>
      </w:r>
      <w:r>
        <w:rPr>
          <w:rFonts w:hint="default" w:ascii="Times New Roman" w:hAnsi="Times New Roman" w:cs="Times New Roman"/>
          <w:b/>
          <w:sz w:val="22"/>
          <w:szCs w:val="22"/>
          <w:highlight w:val="none"/>
        </w:rPr>
        <w:t xml:space="preserve"> </w:t>
      </w:r>
      <w:bookmarkStart w:id="3" w:name="_Hlk71203108"/>
      <w:r>
        <w:rPr>
          <w:rFonts w:hint="default" w:ascii="Times New Roman" w:hAnsi="Times New Roman" w:cs="Times New Roman"/>
          <w:b/>
          <w:bCs/>
          <w:sz w:val="22"/>
          <w:szCs w:val="22"/>
          <w:highlight w:val="none"/>
        </w:rPr>
        <w:t>${contract.total_to_pay.fr}</w:t>
      </w:r>
      <w:r>
        <w:rPr>
          <w:rFonts w:hint="default" w:cs="Times New Roman"/>
          <w:b/>
          <w:bCs/>
          <w:sz w:val="22"/>
          <w:szCs w:val="22"/>
          <w:highlight w:val="none"/>
          <w:lang w:val="en-US"/>
        </w:rPr>
        <w:t xml:space="preserve"> (${contract.total_to_pay})</w:t>
      </w:r>
      <w:r>
        <w:rPr>
          <w:rFonts w:hint="default" w:ascii="Times New Roman" w:hAnsi="Times New Roman" w:cs="Times New Roman"/>
          <w:b/>
          <w:bCs/>
          <w:sz w:val="22"/>
          <w:szCs w:val="22"/>
          <w:highlight w:val="none"/>
        </w:rPr>
        <w:t xml:space="preserve"> </w:t>
      </w:r>
      <w:r>
        <w:rPr>
          <w:rFonts w:hint="default" w:ascii="Times New Roman" w:hAnsi="Times New Roman" w:cs="Times New Roman"/>
          <w:b/>
          <w:sz w:val="22"/>
          <w:szCs w:val="22"/>
          <w:highlight w:val="none"/>
        </w:rPr>
        <w:t>FCFA</w:t>
      </w:r>
      <w:r>
        <w:rPr>
          <w:rFonts w:hint="default" w:ascii="Times New Roman" w:hAnsi="Times New Roman" w:cs="Times New Roman"/>
          <w:b/>
          <w:bCs/>
          <w:i/>
          <w:iCs/>
          <w:sz w:val="22"/>
          <w:szCs w:val="22"/>
          <w:highlight w:val="none"/>
        </w:rPr>
        <w:t xml:space="preserve"> </w:t>
      </w:r>
      <w:r>
        <w:rPr>
          <w:rFonts w:hint="default" w:ascii="Times New Roman" w:hAnsi="Times New Roman" w:cs="Times New Roman"/>
          <w:sz w:val="22"/>
          <w:szCs w:val="22"/>
          <w:highlight w:val="none"/>
        </w:rPr>
        <w:t xml:space="preserve">en principal, plus intérêts, commissions, pénalités, frais et accessoires quelconques. </w:t>
      </w:r>
    </w:p>
    <w:bookmarkEnd w:id="3"/>
    <w:p>
      <w:pPr>
        <w:tabs>
          <w:tab w:val="left" w:pos="6450"/>
        </w:tabs>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tabs>
          <w:tab w:val="left" w:pos="6450"/>
        </w:tabs>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2</w:t>
      </w:r>
      <w:r>
        <w:rPr>
          <w:rFonts w:hint="default" w:ascii="Times New Roman" w:hAnsi="Times New Roman" w:cs="Times New Roman"/>
          <w:b/>
          <w:bCs/>
          <w:sz w:val="22"/>
          <w:szCs w:val="22"/>
        </w:rPr>
        <w:t xml:space="preserve">. – ETENDUE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
        <w:jc w:val="both"/>
        <w:rPr>
          <w:rFonts w:hint="default" w:ascii="Times New Roman" w:hAnsi="Times New Roman" w:cs="Times New Roman"/>
          <w:sz w:val="22"/>
          <w:szCs w:val="22"/>
        </w:rPr>
      </w:pPr>
      <w:r>
        <w:rPr>
          <w:rFonts w:hint="default" w:ascii="Times New Roman" w:hAnsi="Times New Roman"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autoSpaceDE w:val="0"/>
        <w:autoSpaceDN w:val="0"/>
        <w:adjustRightInd w:val="0"/>
        <w:ind w:right="1"/>
        <w:jc w:val="both"/>
        <w:rPr>
          <w:rFonts w:hint="default" w:ascii="Times New Roman" w:hAnsi="Times New Roman" w:cs="Times New Roman"/>
          <w:sz w:val="22"/>
          <w:szCs w:val="22"/>
        </w:rPr>
      </w:pPr>
    </w:p>
    <w:p>
      <w:pPr>
        <w:autoSpaceDE w:val="0"/>
        <w:autoSpaceDN w:val="0"/>
        <w:adjustRightInd w:val="0"/>
        <w:ind w:right="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3</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CARACTERISTIQUES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par les présentes, renonce expressément aux bénéfices de discussion et de division tant avec le débiteur principal qu’avec tous coobligés.</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4</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DECLARATIONS ET ENGAGEMENT DE LA CAUTION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déclare avoir pris personnellement connaissance et vérifié la situation financière du</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Cautionné au moment de la signature des présentes.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hint="default" w:ascii="Times New Roman" w:hAnsi="Times New Roman" w:cs="Times New Roman"/>
          <w:sz w:val="22"/>
          <w:szCs w:val="22"/>
        </w:rPr>
        <w:t xml:space="preserve">COFINA Togo SA. </w:t>
      </w:r>
      <w:bookmarkEnd w:id="4"/>
      <w:r>
        <w:rPr>
          <w:rFonts w:hint="default" w:ascii="Times New Roman" w:hAnsi="Times New Roman" w:cs="Times New Roman"/>
          <w:sz w:val="22"/>
          <w:szCs w:val="22"/>
        </w:rPr>
        <w:t xml:space="preserve">Dès lors, si le cautionné obtient de tels délais de la part de COFINA Togo SA. La Caution qui reste tenue ne pourra poursuivre le Cautionné avant l’expiration de ces délais.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bookmarkStart w:id="5" w:name="_Hlk66263678"/>
      <w:r>
        <w:rPr>
          <w:rFonts w:hint="default" w:ascii="Times New Roman" w:hAnsi="Times New Roman" w:cs="Times New Roman"/>
          <w:sz w:val="22"/>
          <w:szCs w:val="22"/>
        </w:rPr>
        <w:t xml:space="preserve">La Caution </w:t>
      </w:r>
      <w:bookmarkEnd w:id="5"/>
      <w:r>
        <w:rPr>
          <w:rFonts w:hint="default" w:ascii="Times New Roman" w:hAnsi="Times New Roman"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5</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EXIGIBILITE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autoSpaceDE w:val="0"/>
        <w:autoSpaceDN w:val="0"/>
        <w:adjustRightInd w:val="0"/>
        <w:ind w:right="-141"/>
        <w:jc w:val="both"/>
        <w:rPr>
          <w:rFonts w:hint="default" w:ascii="Times New Roman" w:hAnsi="Times New Roman" w:cs="Times New Roman"/>
          <w:sz w:val="22"/>
          <w:szCs w:val="22"/>
        </w:rPr>
      </w:pPr>
    </w:p>
    <w:p>
      <w:pPr>
        <w:numPr>
          <w:ilvl w:val="0"/>
          <w:numId w:val="1"/>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Clôture du compte du client débiteur principal ou du compte de la Caution si celle-ci est</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Cliente de COFINA Togo SA pour quelque cause que ce soit ;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d’admission du cautionné à une procédure collective d’apurement du passif ou à toute circonstance analogue ;</w:t>
      </w:r>
    </w:p>
    <w:p>
      <w:pPr>
        <w:autoSpaceDE w:val="0"/>
        <w:autoSpaceDN w:val="0"/>
        <w:adjustRightInd w:val="0"/>
        <w:ind w:left="454"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de déchéance du terme applicable au client cautionné tel que définie par le Contrat de prêt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6</w:t>
      </w:r>
      <w:r>
        <w:rPr>
          <w:rFonts w:hint="default" w:ascii="Times New Roman" w:hAnsi="Times New Roman" w:cs="Times New Roman"/>
          <w:b/>
          <w:bCs/>
          <w:sz w:val="22"/>
          <w:szCs w:val="22"/>
        </w:rPr>
        <w:t xml:space="preserve">. - INDIVISIBILITE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7</w:t>
      </w:r>
      <w:r>
        <w:rPr>
          <w:rFonts w:hint="default" w:ascii="Times New Roman" w:hAnsi="Times New Roman" w:cs="Times New Roman"/>
          <w:b/>
          <w:bCs/>
          <w:sz w:val="22"/>
          <w:szCs w:val="22"/>
        </w:rPr>
        <w:t xml:space="preserve">. – DUREE DE VALIDITE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sz w:val="22"/>
          <w:szCs w:val="22"/>
        </w:rPr>
        <w:t>Le présent Cautionnement restera en vigueur tant que le débiteur cautionné restera devoir une</w:t>
      </w:r>
      <w:r>
        <w:rPr>
          <w:rFonts w:hint="default" w:ascii="Times New Roman" w:hAnsi="Times New Roman" w:cs="Times New Roman"/>
          <w:b/>
          <w:bCs/>
          <w:sz w:val="22"/>
          <w:szCs w:val="22"/>
        </w:rPr>
        <w:t xml:space="preserve"> </w:t>
      </w:r>
      <w:r>
        <w:rPr>
          <w:rFonts w:hint="default" w:ascii="Times New Roman" w:hAnsi="Times New Roman" w:cs="Times New Roman"/>
          <w:sz w:val="22"/>
          <w:szCs w:val="22"/>
        </w:rPr>
        <w:t>quelconque somme au titre du prêt consenti par COFINA Togo SA.</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8</w:t>
      </w:r>
      <w:r>
        <w:rPr>
          <w:rFonts w:hint="default" w:ascii="Times New Roman" w:hAnsi="Times New Roman" w:cs="Times New Roman"/>
          <w:b/>
          <w:bCs/>
          <w:sz w:val="22"/>
          <w:szCs w:val="22"/>
        </w:rPr>
        <w:t xml:space="preserve">. - CORRESPONDANCES – ELECTION DE DOMICILE </w:t>
      </w:r>
    </w:p>
    <w:p>
      <w:pPr>
        <w:tabs>
          <w:tab w:val="left" w:pos="6212"/>
        </w:tabs>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Domicile est élu par les parties en leur adresse respective figurant en entête des présentes dans le ressort du Greffe du Tribunal de commerce de Lomé.</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9</w:t>
      </w:r>
      <w:r>
        <w:rPr>
          <w:rFonts w:hint="default" w:ascii="Times New Roman" w:hAnsi="Times New Roman" w:cs="Times New Roman"/>
          <w:b/>
          <w:bCs/>
          <w:sz w:val="22"/>
          <w:szCs w:val="22"/>
        </w:rPr>
        <w:t xml:space="preserve">. – INFORMATION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COFINA Togo SA informera la Caution de toute défaillance, déchéance ou prorogation du terme applicable au client cautionné ainsi que de l’évolution de l’endettement de celui-ci.</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10</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DROITS ET FRAIS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les frais et droits auxquels donnent ou pourront donner lieu le présent contrat et son exécution seront supportés par la Caution qui s’y oblige.</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11</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 APPLICABLE – ATTRIBUTION DE COMPETENCE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Le présent contrat est régi par les actes uniformes du traité OHADA et par toute disposition compatible de la loi Togolaise.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différends et litiges relatifs à son interprétation, son exécution, ses suites et ses conséquences, seront de la seule compétence des Juridictions Togolaises.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center"/>
        <w:rPr>
          <w:rFonts w:hint="default" w:ascii="Times New Roman" w:hAnsi="Times New Roman" w:cs="Times New Roman"/>
          <w:sz w:val="22"/>
          <w:szCs w:val="22"/>
        </w:rPr>
      </w:pPr>
      <w:r>
        <w:rPr>
          <w:rFonts w:hint="default" w:ascii="Times New Roman" w:hAnsi="Times New Roman" w:cs="Times New Roman"/>
          <w:sz w:val="22"/>
          <w:szCs w:val="22"/>
        </w:rPr>
        <w:t xml:space="preserve">                                                                                                                          Fait à Lomé le ………………….</w:t>
      </w:r>
    </w:p>
    <w:p>
      <w:pPr>
        <w:autoSpaceDE w:val="0"/>
        <w:autoSpaceDN w:val="0"/>
        <w:adjustRightInd w:val="0"/>
        <w:ind w:right="-141"/>
        <w:jc w:val="right"/>
        <w:rPr>
          <w:rFonts w:hint="default" w:ascii="Times New Roman" w:hAnsi="Times New Roman" w:cs="Times New Roman"/>
          <w:sz w:val="22"/>
          <w:szCs w:val="22"/>
        </w:rPr>
      </w:pPr>
      <w:r>
        <w:rPr>
          <w:rFonts w:hint="default" w:ascii="Times New Roman" w:hAnsi="Times New Roman" w:cs="Times New Roman"/>
          <w:sz w:val="22"/>
          <w:szCs w:val="22"/>
        </w:rPr>
        <w:t>En trois (3) exemplaires originaux</w:t>
      </w:r>
    </w:p>
    <w:p>
      <w:pPr>
        <w:autoSpaceDE w:val="0"/>
        <w:autoSpaceDN w:val="0"/>
        <w:adjustRightInd w:val="0"/>
        <w:ind w:right="-141"/>
        <w:jc w:val="both"/>
        <w:rPr>
          <w:rFonts w:hint="default" w:ascii="Times New Roman" w:hAnsi="Times New Roman" w:cs="Times New Roman"/>
          <w:sz w:val="22"/>
          <w:szCs w:val="22"/>
        </w:rPr>
      </w:pPr>
    </w:p>
    <w:p>
      <w:pPr>
        <w:rPr>
          <w:rFonts w:hint="default" w:ascii="Times New Roman" w:hAnsi="Times New Roman" w:cs="Times New Roman"/>
          <w:b/>
        </w:rPr>
      </w:pPr>
      <w:r>
        <w:rPr>
          <w:rFonts w:hint="default" w:ascii="Times New Roman" w:hAnsi="Times New Roman" w:cs="Times New Roman"/>
          <w:b/>
        </w:rPr>
        <w:br w:type="page"/>
      </w:r>
    </w:p>
    <w:p>
      <w:pPr>
        <w:jc w:val="center"/>
        <w:rPr>
          <w:rFonts w:hint="default" w:ascii="Times New Roman" w:hAnsi="Times New Roman" w:cs="Times New Roman"/>
          <w:b/>
          <w:bCs/>
          <w:iCs/>
          <w:vertAlign w:val="baseline"/>
        </w:rPr>
      </w:pPr>
      <w:r>
        <w:rPr>
          <w:rFonts w:hint="default" w:ascii="Times New Roman" w:hAnsi="Times New Roman" w:cs="Times New Roman"/>
          <w:b/>
        </w:rPr>
        <w:t>Pour l’Institution</w:t>
      </w:r>
    </w:p>
    <w:p>
      <w:pPr>
        <w:spacing w:after="0"/>
        <w:rPr>
          <w:rFonts w:hint="default" w:ascii="Times New Roman" w:hAnsi="Times New Roman" w:cs="Times New Roman"/>
          <w:b/>
          <w:bCs/>
          <w:iCs/>
          <w:sz w:val="24"/>
          <w:szCs w:val="24"/>
          <w:lang w:val="it-IT"/>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jc w:val="both"/>
        <w:rPr>
          <w:rFonts w:hint="default" w:ascii="Times New Roman" w:hAnsi="Times New Roman" w:cs="Times New Roman"/>
          <w:b/>
          <w:bCs/>
          <w:iCs/>
        </w:rPr>
      </w:pPr>
    </w:p>
    <w:p>
      <w:pPr>
        <w:jc w:val="center"/>
        <w:rPr>
          <w:rFonts w:hint="default" w:ascii="Times New Roman" w:hAnsi="Times New Roman" w:cs="Times New Roman"/>
          <w:b/>
        </w:rPr>
      </w:pPr>
    </w:p>
    <w:p>
      <w:pPr>
        <w:jc w:val="center"/>
        <w:rPr>
          <w:rFonts w:hint="default" w:ascii="Times New Roman" w:hAnsi="Times New Roman" w:cs="Times New Roman"/>
          <w:b/>
        </w:rPr>
      </w:pPr>
      <w:r>
        <w:rPr>
          <w:rFonts w:hint="default" w:ascii="Times New Roman" w:hAnsi="Times New Roman" w:cs="Times New Roman"/>
          <w:b/>
        </w:rPr>
        <w:t>Pour la caution</w:t>
      </w:r>
    </w:p>
    <w:p>
      <w:pP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bCs/>
          <w:iCs/>
          <w:highlight w:val="none"/>
          <w:lang w:val="en-US"/>
        </w:rPr>
      </w:pPr>
      <w:r>
        <w:rPr>
          <w:rFonts w:hint="default" w:ascii="Times New Roman" w:hAnsi="Times New Roman" w:cs="Times New Roman"/>
          <w:b/>
          <w:bCs/>
          <w:iCs/>
          <w:highlight w:val="none"/>
        </w:rPr>
        <w:t xml:space="preserve">   ${civility} ${last_name} ${first_name}</w:t>
      </w:r>
    </w:p>
    <w:p>
      <w:pPr>
        <w:rPr>
          <w:rFonts w:hint="default" w:ascii="Times New Roman" w:hAnsi="Times New Roman" w:cs="Times New Roman"/>
        </w:rPr>
      </w:pPr>
    </w:p>
    <w:sectPr>
      <w:headerReference r:id="rId5" w:type="default"/>
      <w:footerReference r:id="rId6" w:type="default"/>
      <w:footnotePr>
        <w:numFmt w:val="chicago"/>
        <w:numRestart w:val="eachPage"/>
      </w:footnotePr>
      <w:pgSz w:w="11906" w:h="16838"/>
      <w:pgMar w:top="899" w:right="707" w:bottom="709" w:left="1417" w:header="454" w:footer="1020"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Book Antiqua">
    <w:altName w:val="Georgia"/>
    <w:panose1 w:val="02040602050305030304"/>
    <w:charset w:val="00"/>
    <w:family w:val="roman"/>
    <w:pitch w:val="default"/>
    <w:sig w:usb0="00000000" w:usb1="00000000" w:usb2="00000000" w:usb3="00000000" w:csb0="0000009F" w:csb1="00000000"/>
  </w:font>
  <w:font w:name="Georgia">
    <w:panose1 w:val="02040502050405020303"/>
    <w:charset w:val="00"/>
    <w:family w:val="auto"/>
    <w:pitch w:val="default"/>
    <w:sig w:usb0="00000287" w:usb1="00000000" w:usb2="00000000" w:usb3="00000000" w:csb0="2000009F"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rFonts w:asciiTheme="minorHAnsi" w:hAnsiTheme="minorHAnsi"/>
        <w:b/>
        <w:sz w:val="22"/>
        <w:szCs w:val="22"/>
      </w:rPr>
    </w:pPr>
    <w:r>
      <w:rPr>
        <w:rFonts w:asciiTheme="minorHAnsi" w:hAnsiTheme="minorHAnsi" w:cstheme="minorHAnsi"/>
        <w:sz w:val="16"/>
        <w:szCs w:val="16"/>
      </w:rPr>
      <w:t>CONTRAT DE CAUTIONNEMENT</w:t>
    </w:r>
    <w:r>
      <w:rPr>
        <w:rFonts w:asciiTheme="minorHAnsi" w:hAnsiTheme="minorHAnsi" w:cstheme="minorHAnsi"/>
        <w:sz w:val="16"/>
        <w:szCs w:val="16"/>
        <w:highlight w:val="none"/>
      </w:rPr>
      <w:t xml:space="preserve"> –</w:t>
    </w:r>
    <w:r>
      <w:rPr>
        <w:b/>
        <w:bCs/>
        <w:highlight w:val="none"/>
      </w:rPr>
      <w:t xml:space="preserve"> </w:t>
    </w:r>
    <w:r>
      <w:rPr>
        <w:rFonts w:hint="default" w:ascii="Times New Roman" w:hAnsi="Times New Roman"/>
        <w:b/>
        <w:highlight w:val="none"/>
      </w:rPr>
      <w:t>${company.denomination}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Theme="minorHAnsi" w:hAnsiTheme="minorHAnsi" w:cstheme="minorHAnsi"/>
        <w:sz w:val="16"/>
        <w:szCs w:val="16"/>
      </w:rPr>
      <w:instrText xml:space="preserve"> PAGE  \* Arabic  \* MERGEFORMAT </w:instrText>
    </w:r>
    <w:r>
      <w:rPr>
        <w:rFonts w:asciiTheme="minorHAnsi" w:hAnsiTheme="minorHAnsi" w:cstheme="minorHAnsi"/>
        <w:sz w:val="16"/>
        <w:szCs w:val="16"/>
      </w:rPr>
      <w:fldChar w:fldCharType="separate"/>
    </w:r>
    <w:r>
      <w:rPr>
        <w:rFonts w:asciiTheme="minorHAnsi" w:hAnsiTheme="minorHAnsi" w:cstheme="minorHAnsi"/>
        <w:sz w:val="16"/>
        <w:szCs w:val="16"/>
      </w:rPr>
      <w:t>3</w:t>
    </w:r>
    <w:r>
      <w:rPr>
        <w:rFonts w:asciiTheme="minorHAnsi" w:hAnsiTheme="minorHAnsi" w:cstheme="minorHAns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tabs>
        <w:tab w:val="left" w:pos="4862"/>
        <w:tab w:val="left" w:pos="5031"/>
      </w:tabs>
    </w:pPr>
    <w:r>
      <w:rPr>
        <w:rFonts w:hint="default"/>
      </w:rPr>
      <w:t>N°${contract.verbal_trial.committee_id}</w:t>
    </w:r>
  </w:p>
  <w:p>
    <w:pPr>
      <w:tabs>
        <w:tab w:val="left" w:pos="4862"/>
        <w:tab w:val="left" w:pos="5031"/>
      </w:tabs>
    </w:pPr>
  </w:p>
  <w:p>
    <w:pPr>
      <w:tabs>
        <w:tab w:val="left" w:pos="4862"/>
        <w:tab w:val="left" w:pos="5031"/>
      </w:tabs>
    </w:pPr>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1E04154"/>
    <w:multiLevelType w:val="multilevel"/>
    <w:tmpl w:val="21E04154"/>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1">
    <w:nsid w:val="69385485"/>
    <w:multiLevelType w:val="multilevel"/>
    <w:tmpl w:val="69385485"/>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hyphenationZone w:val="425"/>
  <w:characterSpacingControl w:val="doNotCompress"/>
  <w:footnotePr>
    <w:numFmt w:val="chicago"/>
    <w:numRestart w:val="eachPage"/>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5469"/>
    <w:rsid w:val="00002015"/>
    <w:rsid w:val="00002857"/>
    <w:rsid w:val="00061397"/>
    <w:rsid w:val="00063B14"/>
    <w:rsid w:val="000B270F"/>
    <w:rsid w:val="001D0D43"/>
    <w:rsid w:val="00213FD5"/>
    <w:rsid w:val="002142D5"/>
    <w:rsid w:val="00222601"/>
    <w:rsid w:val="00236D1E"/>
    <w:rsid w:val="0024003B"/>
    <w:rsid w:val="002448DD"/>
    <w:rsid w:val="00257DF9"/>
    <w:rsid w:val="002917FB"/>
    <w:rsid w:val="002D30D3"/>
    <w:rsid w:val="00372D2E"/>
    <w:rsid w:val="0039094E"/>
    <w:rsid w:val="00404826"/>
    <w:rsid w:val="00407630"/>
    <w:rsid w:val="004662F1"/>
    <w:rsid w:val="00501A93"/>
    <w:rsid w:val="005332E1"/>
    <w:rsid w:val="00565469"/>
    <w:rsid w:val="00583C12"/>
    <w:rsid w:val="005A2CB6"/>
    <w:rsid w:val="005A4882"/>
    <w:rsid w:val="005A62B3"/>
    <w:rsid w:val="005B3D16"/>
    <w:rsid w:val="005B3E22"/>
    <w:rsid w:val="0061408D"/>
    <w:rsid w:val="0068581E"/>
    <w:rsid w:val="006E192B"/>
    <w:rsid w:val="006E1ED4"/>
    <w:rsid w:val="00711CC2"/>
    <w:rsid w:val="007308D4"/>
    <w:rsid w:val="0074055E"/>
    <w:rsid w:val="007548EF"/>
    <w:rsid w:val="007646C5"/>
    <w:rsid w:val="007B2857"/>
    <w:rsid w:val="008D1BFC"/>
    <w:rsid w:val="00901D81"/>
    <w:rsid w:val="00912EC5"/>
    <w:rsid w:val="0092434C"/>
    <w:rsid w:val="00924BE9"/>
    <w:rsid w:val="009349A0"/>
    <w:rsid w:val="009925F0"/>
    <w:rsid w:val="009B509B"/>
    <w:rsid w:val="00A136EC"/>
    <w:rsid w:val="00AA10A7"/>
    <w:rsid w:val="00AB1716"/>
    <w:rsid w:val="00AB26A7"/>
    <w:rsid w:val="00AB578A"/>
    <w:rsid w:val="00B41351"/>
    <w:rsid w:val="00BA0354"/>
    <w:rsid w:val="00BB198F"/>
    <w:rsid w:val="00C1074F"/>
    <w:rsid w:val="00C2190B"/>
    <w:rsid w:val="00C24302"/>
    <w:rsid w:val="00C44FCD"/>
    <w:rsid w:val="00C90885"/>
    <w:rsid w:val="00C96FDF"/>
    <w:rsid w:val="00CF2EA4"/>
    <w:rsid w:val="00D673CB"/>
    <w:rsid w:val="00D71905"/>
    <w:rsid w:val="00D90504"/>
    <w:rsid w:val="00D90B82"/>
    <w:rsid w:val="00D94AB1"/>
    <w:rsid w:val="00DA47C3"/>
    <w:rsid w:val="00DC11C4"/>
    <w:rsid w:val="00DD179B"/>
    <w:rsid w:val="00E5714A"/>
    <w:rsid w:val="00E7546B"/>
    <w:rsid w:val="00E80202"/>
    <w:rsid w:val="00EB01B3"/>
    <w:rsid w:val="00EE25D2"/>
    <w:rsid w:val="00EF431B"/>
    <w:rsid w:val="00EF615A"/>
    <w:rsid w:val="00F23EE3"/>
    <w:rsid w:val="00F361E7"/>
    <w:rsid w:val="00F468B0"/>
    <w:rsid w:val="00F478B5"/>
    <w:rsid w:val="00F50FB2"/>
    <w:rsid w:val="00F61F19"/>
    <w:rsid w:val="00F646B3"/>
    <w:rsid w:val="00FC1A38"/>
    <w:rsid w:val="37DE4F9D"/>
    <w:rsid w:val="37DFDF56"/>
    <w:rsid w:val="3D772AAC"/>
    <w:rsid w:val="523C9C13"/>
    <w:rsid w:val="56BF27CC"/>
    <w:rsid w:val="57FF169D"/>
    <w:rsid w:val="5BA61EA3"/>
    <w:rsid w:val="60EC1E6B"/>
    <w:rsid w:val="6FF26B43"/>
    <w:rsid w:val="74DEF4D9"/>
    <w:rsid w:val="77BF4B2F"/>
    <w:rsid w:val="77FFFF1E"/>
    <w:rsid w:val="7BFDEA3E"/>
    <w:rsid w:val="7C9FD9C0"/>
    <w:rsid w:val="7CEB0708"/>
    <w:rsid w:val="7CEBBAC4"/>
    <w:rsid w:val="7DBA0C24"/>
    <w:rsid w:val="7E5F26D6"/>
    <w:rsid w:val="7F6B1029"/>
    <w:rsid w:val="7FEE5164"/>
    <w:rsid w:val="8DC7F6FC"/>
    <w:rsid w:val="8DFE5B73"/>
    <w:rsid w:val="BCCA90CC"/>
    <w:rsid w:val="BED33740"/>
    <w:rsid w:val="BF5B5049"/>
    <w:rsid w:val="C5AF02FD"/>
    <w:rsid w:val="D9AE85C8"/>
    <w:rsid w:val="DE7F2E21"/>
    <w:rsid w:val="EBBD8807"/>
    <w:rsid w:val="FD7FF1CC"/>
    <w:rsid w:val="FDFD6ACE"/>
    <w:rsid w:val="FF2B2172"/>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qFormat/>
    <w:uiPriority w:val="0"/>
    <w:pPr>
      <w:tabs>
        <w:tab w:val="center" w:pos="4536"/>
        <w:tab w:val="right" w:pos="9072"/>
      </w:tabs>
    </w:pPr>
  </w:style>
  <w:style w:type="paragraph" w:styleId="5">
    <w:name w:val="header"/>
    <w:basedOn w:val="1"/>
    <w:link w:val="7"/>
    <w:qFormat/>
    <w:uiPriority w:val="0"/>
    <w:pPr>
      <w:tabs>
        <w:tab w:val="center" w:pos="4536"/>
        <w:tab w:val="right" w:pos="9072"/>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En-tête Car"/>
    <w:basedOn w:val="2"/>
    <w:link w:val="5"/>
    <w:qFormat/>
    <w:uiPriority w:val="0"/>
    <w:rPr>
      <w:rFonts w:ascii="Times New Roman" w:hAnsi="Times New Roman" w:eastAsia="Times New Roman" w:cs="Times New Roman"/>
      <w:sz w:val="24"/>
      <w:szCs w:val="24"/>
      <w:lang w:eastAsia="fr-FR"/>
    </w:rPr>
  </w:style>
  <w:style w:type="character" w:customStyle="1" w:styleId="8">
    <w:name w:val="Pied de page Car"/>
    <w:basedOn w:val="2"/>
    <w:link w:val="4"/>
    <w:qFormat/>
    <w:uiPriority w:val="0"/>
    <w:rPr>
      <w:rFonts w:ascii="Times New Roman" w:hAnsi="Times New Roman" w:eastAsia="Times New Roman" w:cs="Times New Roman"/>
      <w:sz w:val="24"/>
      <w:szCs w:val="24"/>
      <w:lang w:eastAsia="fr-FR"/>
    </w:rPr>
  </w:style>
  <w:style w:type="paragraph" w:customStyle="1" w:styleId="9">
    <w:name w:val="Body"/>
    <w:basedOn w:val="1"/>
    <w:qFormat/>
    <w:uiPriority w:val="99"/>
    <w:pPr>
      <w:spacing w:after="120"/>
      <w:ind w:left="283"/>
    </w:pPr>
    <w:rPr>
      <w:sz w:val="16"/>
      <w:szCs w:val="16"/>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1136</Words>
  <Characters>6254</Characters>
  <Lines>52</Lines>
  <Paragraphs>14</Paragraphs>
  <TotalTime>0</TotalTime>
  <ScaleCrop>false</ScaleCrop>
  <LinksUpToDate>false</LinksUpToDate>
  <CharactersWithSpaces>7376</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2025-02-11T11:25:44Z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