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rPr>
          <w:rFonts w:hint="default" w:ascii="Times New Roman" w:hAnsi="Times New Roman" w:eastAsia="Calibri" w:cs="Times New Roman"/>
          <w:b/>
          <w:sz w:val="44"/>
          <w:szCs w:val="44"/>
          <w:bdr w:val="dashDotStroked" w:color="auto" w:sz="24" w:space="0"/>
          <w:lang w:val="en-US" w:eastAsia="en-US"/>
        </w:rPr>
      </w:pPr>
      <w:r>
        <w:rPr>
          <w:rFonts w:hint="default" w:eastAsia="Calibri" w:cs="Times New Roman"/>
          <w:b/>
          <w:sz w:val="44"/>
          <w:szCs w:val="44"/>
          <w:bdr w:val="dashDotStroked" w:color="auto" w:sz="24" w:space="0"/>
          <w:lang w:val="en-US" w:eastAsia="en-US"/>
        </w:rPr>
        <w:t xml:space="preserve"> </w:t>
      </w:r>
    </w:p>
    <w:p>
      <w:pPr>
        <w:spacing w:after="200" w:line="276" w:lineRule="auto"/>
        <w:jc w:val="center"/>
        <w:rPr>
          <w:rFonts w:hint="default" w:ascii="Times New Roman" w:hAnsi="Times New Roman" w:eastAsia="Calibri" w:cs="Times New Roman"/>
          <w:b/>
          <w:sz w:val="44"/>
          <w:szCs w:val="44"/>
          <w:bdr w:val="dashDotStroked" w:color="auto" w:sz="24" w:space="0"/>
          <w:lang w:eastAsia="en-US"/>
        </w:rPr>
      </w:pPr>
      <w:r>
        <w:rPr>
          <w:rFonts w:hint="default" w:ascii="Times New Roman" w:hAnsi="Times New Roman" w:eastAsia="Calibri" w:cs="Times New Roman"/>
          <w:b/>
          <w:sz w:val="44"/>
          <w:szCs w:val="44"/>
          <w:bdr w:val="dashDotStroked" w:color="auto" w:sz="24" w:space="0"/>
          <w:lang w:eastAsia="en-US"/>
        </w:rPr>
        <w:t xml:space="preserve">CONTRAT DE PRÊT ET GAGE    </w:t>
      </w:r>
    </w:p>
    <w:p>
      <w:pPr>
        <w:jc w:val="both"/>
        <w:rPr>
          <w:rFonts w:hint="default" w:ascii="Times New Roman" w:hAnsi="Times New Roman" w:cs="Times New Roman"/>
          <w:sz w:val="22"/>
          <w:szCs w:val="22"/>
          <w:u w:val="single"/>
        </w:rPr>
      </w:pPr>
    </w:p>
    <w:p>
      <w:pPr>
        <w:spacing w:after="200"/>
        <w:jc w:val="both"/>
        <w:rPr>
          <w:rFonts w:hint="default" w:ascii="Times New Roman" w:hAnsi="Times New Roman" w:eastAsia="Calibri" w:cs="Times New Roman"/>
          <w:b/>
          <w:bCs/>
          <w:sz w:val="26"/>
          <w:szCs w:val="26"/>
          <w:u w:val="single"/>
          <w:lang w:eastAsia="en-US"/>
        </w:rPr>
      </w:pPr>
      <w:r>
        <w:rPr>
          <w:rFonts w:hint="default" w:ascii="Times New Roman" w:hAnsi="Times New Roman" w:eastAsia="Calibri" w:cs="Times New Roman"/>
          <w:b/>
          <w:bCs/>
          <w:sz w:val="26"/>
          <w:szCs w:val="26"/>
          <w:u w:val="single"/>
          <w:lang w:eastAsia="en-US"/>
        </w:rPr>
        <w:t xml:space="preserve">ENTRE-LES SOUSSIGNES : </w:t>
      </w:r>
    </w:p>
    <w:p>
      <w:pPr>
        <w:spacing w:after="200" w:line="276" w:lineRule="auto"/>
        <w:jc w:val="both"/>
        <w:rPr>
          <w:rFonts w:hint="default" w:ascii="Times New Roman" w:hAnsi="Times New Roman" w:cs="Times New Roman"/>
          <w:sz w:val="24"/>
          <w:szCs w:val="24"/>
        </w:rPr>
      </w:pPr>
      <w:r>
        <w:rPr>
          <w:rFonts w:hint="default" w:ascii="Times New Roman" w:hAnsi="Times New Roman" w:cs="Times New Roman"/>
          <w:b/>
          <w:sz w:val="24"/>
          <w:szCs w:val="24"/>
        </w:rPr>
        <w:t>COMPAGNIE FINANCIERE AFRICAINE (COFINA TOGO) SA</w:t>
      </w:r>
      <w:r>
        <w:rPr>
          <w:rFonts w:hint="default" w:ascii="Times New Roman" w:hAnsi="Times New Roman" w:cs="Times New Roman"/>
          <w:sz w:val="24"/>
          <w:szCs w:val="24"/>
        </w:rPr>
        <w:t>, Société Anonyme avec Conseil d’Administration au capital de  500.000.000 FCFA, immatriculée au Registre du Commerce et du Crédit Mobilier du TOGO, sous le numéro initial TOGO-LOME TG-LOM 2018 B2536, Agrément Numéro 36 et inscrite sur la liste de l’APSFD sous le numéro T/1/GFLM/2019/257A, dont le siège social est situé à LOME (TOGO</w:t>
      </w:r>
      <w:bookmarkStart w:id="0" w:name="_Hlk66259236"/>
      <w:r>
        <w:rPr>
          <w:rFonts w:hint="default" w:ascii="Times New Roman" w:hAnsi="Times New Roman" w:cs="Times New Roman"/>
          <w:sz w:val="24"/>
          <w:szCs w:val="24"/>
        </w:rPr>
        <w:t>), Boulevard du 13 Janvier, Quartier Kodjoviakopé, 07 BP : 7499 Lomé-TOGO</w:t>
      </w:r>
      <w:bookmarkEnd w:id="0"/>
      <w:r>
        <w:rPr>
          <w:rFonts w:hint="default" w:ascii="Times New Roman" w:hAnsi="Times New Roman" w:cs="Times New Roman"/>
          <w:sz w:val="24"/>
          <w:szCs w:val="24"/>
        </w:rPr>
        <w:t>, Téléphone : 00 228 22 23 68 68 / 00 228 22 23 68 60 ;</w:t>
      </w:r>
    </w:p>
    <w:p>
      <w:pPr>
        <w:spacing w:after="200" w:line="276" w:lineRule="auto"/>
        <w:jc w:val="both"/>
        <w:rPr>
          <w:rFonts w:hint="default" w:ascii="Times New Roman" w:hAnsi="Times New Roman" w:eastAsia="Calibri" w:cs="Times New Roman"/>
          <w:sz w:val="24"/>
          <w:szCs w:val="24"/>
          <w:lang w:eastAsia="en-US"/>
        </w:rPr>
      </w:pPr>
      <w:r>
        <w:rPr>
          <w:rFonts w:hint="default" w:ascii="Times New Roman" w:hAnsi="Times New Roman" w:cs="Times New Roman"/>
          <w:bCs/>
          <w:iCs/>
          <w:sz w:val="24"/>
          <w:szCs w:val="24"/>
        </w:rPr>
        <w:t xml:space="preserve">Représentée par </w:t>
      </w:r>
      <w:r>
        <w:rPr>
          <w:rFonts w:hint="default" w:ascii="Times New Roman" w:hAnsi="Times New Roman" w:cs="Times New Roman"/>
          <w:b/>
          <w:bCs/>
          <w:iCs/>
          <w:sz w:val="24"/>
          <w:szCs w:val="24"/>
        </w:rPr>
        <w:t>Monsieur</w:t>
      </w:r>
      <w:r>
        <w:rPr>
          <w:rFonts w:hint="default" w:ascii="Times New Roman" w:hAnsi="Times New Roman" w:cs="Times New Roman"/>
          <w:bCs/>
          <w:iCs/>
          <w:sz w:val="24"/>
          <w:szCs w:val="24"/>
        </w:rPr>
        <w:t xml:space="preserve"> </w:t>
      </w:r>
      <w:r>
        <w:rPr>
          <w:rFonts w:hint="default" w:ascii="Times New Roman" w:hAnsi="Times New Roman" w:cs="Times New Roman"/>
          <w:b/>
          <w:bCs/>
          <w:iCs/>
          <w:sz w:val="24"/>
          <w:szCs w:val="24"/>
        </w:rPr>
        <w:t>Mélaine Marcel Séraphin DIGBE</w:t>
      </w:r>
      <w:r>
        <w:rPr>
          <w:rFonts w:hint="default" w:ascii="Times New Roman" w:hAnsi="Times New Roman" w:cs="Times New Roman"/>
          <w:bCs/>
          <w:iCs/>
          <w:sz w:val="24"/>
          <w:szCs w:val="24"/>
        </w:rPr>
        <w:t xml:space="preserve">, en sa qualité de Directeur Général, dûment habilité, et par délégation de pouvoir à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xml:space="preserve">, Head Crédit, et </w:t>
      </w:r>
      <w:r>
        <w:rPr>
          <w:rFonts w:hint="default" w:ascii="Times New Roman" w:hAnsi="Times New Roman" w:cs="Times New Roman"/>
          <w:b/>
          <w:bCs/>
          <w:iCs/>
          <w:sz w:val="24"/>
          <w:szCs w:val="24"/>
        </w:rPr>
        <w:t xml:space="preserve">Madame Christèle F. R. FEBON </w:t>
      </w:r>
      <w:r>
        <w:rPr>
          <w:rFonts w:hint="default" w:ascii="Times New Roman" w:hAnsi="Times New Roman" w:cs="Times New Roman"/>
          <w:bCs/>
          <w:iCs/>
          <w:sz w:val="24"/>
          <w:szCs w:val="24"/>
        </w:rPr>
        <w:t>épouse</w:t>
      </w:r>
      <w:r>
        <w:rPr>
          <w:rFonts w:hint="default" w:ascii="Times New Roman" w:hAnsi="Times New Roman" w:cs="Times New Roman"/>
          <w:b/>
          <w:bCs/>
          <w:iCs/>
          <w:sz w:val="24"/>
          <w:szCs w:val="24"/>
        </w:rPr>
        <w:t xml:space="preserve"> JOHNSON, </w:t>
      </w:r>
      <w:r>
        <w:rPr>
          <w:rFonts w:hint="default" w:ascii="Times New Roman" w:hAnsi="Times New Roman" w:cs="Times New Roman"/>
          <w:bCs/>
          <w:iCs/>
          <w:sz w:val="24"/>
          <w:szCs w:val="24"/>
        </w:rPr>
        <w:t>Directrice d’exploitation,</w:t>
      </w:r>
      <w:r>
        <w:rPr>
          <w:rFonts w:hint="default" w:ascii="Times New Roman" w:hAnsi="Times New Roman" w:cs="Times New Roman"/>
          <w:b/>
          <w:bCs/>
          <w:iCs/>
          <w:sz w:val="24"/>
          <w:szCs w:val="24"/>
        </w:rPr>
        <w:t> </w:t>
      </w:r>
      <w:r>
        <w:rPr>
          <w:rFonts w:hint="default" w:ascii="Times New Roman" w:hAnsi="Times New Roman" w:cs="Times New Roman"/>
          <w:bCs/>
          <w:iCs/>
          <w:sz w:val="24"/>
          <w:szCs w:val="24"/>
        </w:rPr>
        <w:t>vertu d’un acte reçu par Me Afiavi S. do REGO-d’Almeida, Notaire à Lomé, en date du 19 Août 2022</w:t>
      </w:r>
      <w:r>
        <w:rPr>
          <w:rFonts w:hint="default" w:ascii="Times New Roman" w:hAnsi="Times New Roman" w:eastAsia="Calibri" w:cs="Times New Roman"/>
          <w:sz w:val="24"/>
          <w:szCs w:val="24"/>
          <w:lang w:eastAsia="en-US"/>
        </w:rPr>
        <w:t>,</w:t>
      </w:r>
    </w:p>
    <w:p>
      <w:pPr>
        <w:spacing w:after="200" w:line="276" w:lineRule="auto"/>
        <w:ind w:right="-141"/>
        <w:jc w:val="right"/>
        <w:rPr>
          <w:rFonts w:hint="default" w:ascii="Times New Roman" w:hAnsi="Times New Roman" w:eastAsia="Calibri" w:cs="Times New Roman"/>
          <w:i/>
          <w:iCs/>
          <w:sz w:val="24"/>
          <w:szCs w:val="24"/>
          <w:lang w:eastAsia="en-US"/>
        </w:rPr>
      </w:pPr>
      <w:r>
        <w:rPr>
          <w:rFonts w:hint="default" w:ascii="Times New Roman" w:hAnsi="Times New Roman" w:eastAsia="Calibri" w:cs="Times New Roman"/>
          <w:sz w:val="24"/>
          <w:szCs w:val="24"/>
          <w:lang w:eastAsia="en-US"/>
        </w:rPr>
        <w:t xml:space="preserve">Ci-après dénommée « </w:t>
      </w:r>
      <w:r>
        <w:rPr>
          <w:rFonts w:hint="default" w:ascii="Times New Roman" w:hAnsi="Times New Roman" w:eastAsia="Calibri" w:cs="Times New Roman"/>
          <w:b/>
          <w:bCs/>
          <w:sz w:val="24"/>
          <w:szCs w:val="24"/>
          <w:lang w:eastAsia="en-US"/>
        </w:rPr>
        <w:t xml:space="preserve">COFINA TOGO SA », </w:t>
      </w:r>
      <w:r>
        <w:rPr>
          <w:rFonts w:hint="default" w:ascii="Times New Roman" w:hAnsi="Times New Roman" w:eastAsia="Calibri" w:cs="Times New Roman"/>
          <w:b/>
          <w:bCs/>
          <w:i/>
          <w:iCs/>
          <w:sz w:val="24"/>
          <w:szCs w:val="24"/>
          <w:lang w:eastAsia="en-US"/>
        </w:rPr>
        <w:t>d’une part</w:t>
      </w:r>
      <w:r>
        <w:rPr>
          <w:rFonts w:hint="default" w:ascii="Times New Roman" w:hAnsi="Times New Roman" w:eastAsia="Calibri" w:cs="Times New Roman"/>
          <w:i/>
          <w:iCs/>
          <w:sz w:val="24"/>
          <w:szCs w:val="24"/>
          <w:lang w:eastAsia="en-US"/>
        </w:rPr>
        <w:t>,</w:t>
      </w:r>
    </w:p>
    <w:p>
      <w:pPr>
        <w:spacing w:after="200"/>
        <w:jc w:val="both"/>
        <w:rPr>
          <w:rFonts w:hint="default" w:ascii="Times New Roman" w:hAnsi="Times New Roman" w:eastAsia="Calibri" w:cs="Times New Roman"/>
          <w:sz w:val="24"/>
          <w:szCs w:val="24"/>
          <w:lang w:eastAsia="en-US"/>
        </w:rPr>
      </w:pPr>
      <w:r>
        <w:rPr>
          <w:rFonts w:hint="default" w:ascii="Times New Roman" w:hAnsi="Times New Roman" w:eastAsia="Calibri" w:cs="Times New Roman"/>
          <w:sz w:val="24"/>
          <w:szCs w:val="24"/>
          <w:lang w:eastAsia="en-US"/>
        </w:rPr>
        <w:t>ET</w:t>
      </w:r>
    </w:p>
    <w:p>
      <w:pPr>
        <w:ind w:right="-468"/>
        <w:jc w:val="both"/>
        <w:rPr>
          <w:rFonts w:hint="default" w:ascii="Times New Roman" w:hAnsi="Times New Roman" w:cs="Times New Roman"/>
          <w:b/>
          <w:bCs/>
          <w:highlight w:val="none"/>
          <w:shd w:val="clear" w:fill="auto"/>
          <w:lang w:val="en-US"/>
        </w:rPr>
      </w:pPr>
      <w:r>
        <w:rPr>
          <w:rFonts w:hint="default" w:ascii="Times New Roman" w:hAnsi="Times New Roman" w:cs="Times New Roman"/>
          <w:b w:val="0"/>
          <w:bCs w:val="0"/>
          <w:highlight w:val="yellow"/>
        </w:rPr>
        <w:t xml:space="preserve">Sauf-i </w:t>
      </w:r>
      <w:r>
        <w:rPr>
          <w:rFonts w:hint="default" w:ascii="Times New Roman" w:hAnsi="Times New Roman" w:cs="Times New Roman"/>
          <w:b w:val="0"/>
          <w:bCs w:val="0"/>
          <w:highlight w:val="yellow"/>
          <w:lang w:val="en-US"/>
        </w:rPr>
        <w:t>pe</w:t>
      </w:r>
      <w:r>
        <w:rPr>
          <w:rFonts w:hint="default" w:ascii="Times New Roman" w:hAnsi="Times New Roman" w:cs="Times New Roman"/>
          <w:b w:val="0"/>
          <w:bCs w:val="0"/>
          <w:highlight w:val="yellow"/>
        </w:rPr>
        <w:t xml:space="preserve"> dont le siège social est à </w:t>
      </w:r>
      <w:r>
        <w:rPr>
          <w:rFonts w:hint="default" w:ascii="Times New Roman" w:hAnsi="Times New Roman" w:cs="Times New Roman"/>
          <w:b w:val="0"/>
          <w:bCs w:val="0"/>
          <w:highlight w:val="yellow"/>
          <w:lang w:val="en-US"/>
        </w:rPr>
        <w:t>Gabon, Libreville</w:t>
      </w:r>
      <w:r>
        <w:rPr>
          <w:rFonts w:hint="default" w:ascii="Times New Roman" w:hAnsi="Times New Roman" w:cs="Times New Roman"/>
          <w:b w:val="0"/>
          <w:bCs w:val="0"/>
          <w:highlight w:val="yellow"/>
        </w:rPr>
        <w:t xml:space="preserve">, immatriculée sous le registre du Commerce et du Crédit Mobilier de Lomé, sous le numéro </w:t>
      </w:r>
      <w:r>
        <w:rPr>
          <w:rFonts w:hint="default" w:ascii="Times New Roman" w:hAnsi="Times New Roman" w:cs="Times New Roman"/>
          <w:b w:val="0"/>
          <w:bCs w:val="0"/>
          <w:highlight w:val="yellow"/>
          <w:lang w:val="en-US"/>
        </w:rPr>
        <w:t>R2D2</w:t>
      </w:r>
      <w:r>
        <w:rPr>
          <w:rFonts w:hint="default" w:ascii="Times New Roman" w:hAnsi="Times New Roman" w:cs="Times New Roman"/>
          <w:b w:val="0"/>
          <w:bCs w:val="0"/>
          <w:highlight w:val="yellow"/>
        </w:rPr>
        <w:t xml:space="preserve"> représenté par son responsable </w:t>
      </w:r>
      <w:r>
        <w:rPr>
          <w:rFonts w:hint="default" w:ascii="Times New Roman" w:hAnsi="Times New Roman" w:cs="Times New Roman"/>
          <w:b w:val="0"/>
          <w:bCs w:val="0"/>
          <w:highlight w:val="yellow"/>
          <w:shd w:val="clear" w:fill="auto"/>
        </w:rPr>
        <w:t>Mme</w:t>
      </w:r>
      <w:r>
        <w:rPr>
          <w:rFonts w:hint="default" w:ascii="Times New Roman" w:hAnsi="Times New Roman" w:cs="Times New Roman"/>
          <w:b w:val="0"/>
          <w:bCs w:val="0"/>
          <w:highlight w:val="yellow"/>
          <w:shd w:val="clear" w:fill="auto"/>
          <w:lang w:val="en-US"/>
        </w:rPr>
        <w:t xml:space="preserve"> </w:t>
      </w:r>
      <w:r>
        <w:rPr>
          <w:rFonts w:hint="default" w:ascii="Times New Roman" w:hAnsi="Times New Roman" w:cs="Times New Roman"/>
          <w:b w:val="0"/>
          <w:bCs w:val="0"/>
          <w:highlight w:val="yellow"/>
          <w:shd w:val="clear" w:fill="auto"/>
        </w:rPr>
        <w:t>Treutel Bernie née le 01/05/1988, de nationalité Togolaise domicilié à Zip 85 et titulaire d’un(e) cni CND-4D8-84S-52S délivrée le 01/01/2020,</w:t>
      </w:r>
      <w:r>
        <w:rPr>
          <w:rFonts w:hint="default" w:ascii="Times New Roman" w:hAnsi="Times New Roman" w:cs="Times New Roman"/>
          <w:b/>
          <w:bCs/>
          <w:highlight w:val="yellow"/>
          <w:shd w:val="clear" w:fill="auto"/>
        </w:rPr>
        <w:t xml:space="preserve"> </w:t>
      </w:r>
      <w:r>
        <w:rPr>
          <w:rFonts w:hint="default" w:ascii="Times New Roman" w:hAnsi="Times New Roman" w:cs="Times New Roman"/>
          <w:b w:val="0"/>
          <w:bCs w:val="0"/>
          <w:highlight w:val="yellow"/>
          <w:shd w:val="clear" w:fill="auto"/>
        </w:rPr>
        <w:t>Tél : +228 90 90 90 90</w:t>
      </w:r>
      <w:r>
        <w:rPr>
          <w:rFonts w:hint="default" w:ascii="Times New Roman" w:hAnsi="Times New Roman" w:cs="Times New Roman"/>
          <w:b w:val="0"/>
          <w:bCs w:val="0"/>
          <w:highlight w:val="yellow"/>
        </w:rPr>
        <w:t>, ayant pleins pouvoirs à l’effet des présentes,</w:t>
      </w:r>
      <w:r>
        <w:rPr>
          <w:rFonts w:hint="default" w:ascii="Times New Roman" w:hAnsi="Times New Roman" w:cs="Times New Roman"/>
          <w:b/>
          <w:bCs/>
          <w:highlight w:val="yellow"/>
        </w:rPr>
        <w:t xml:space="preserve"> Tél : </w:t>
      </w:r>
      <w:r>
        <w:rPr>
          <w:rFonts w:hint="default" w:ascii="Times New Roman" w:hAnsi="Times New Roman" w:cs="Times New Roman"/>
          <w:b/>
          <w:bCs/>
          <w:highlight w:val="yellow"/>
          <w:lang w:val="en-US"/>
        </w:rPr>
        <w:t>+241 07 14 82 26</w:t>
      </w:r>
    </w:p>
    <w:p>
      <w:pPr>
        <w:ind w:right="-468"/>
        <w:jc w:val="both"/>
        <w:rPr>
          <w:rFonts w:hint="default" w:ascii="Times New Roman" w:hAnsi="Times New Roman" w:cs="Times New Roman"/>
          <w:b/>
          <w:bCs/>
          <w:sz w:val="24"/>
          <w:szCs w:val="24"/>
        </w:rPr>
      </w:pPr>
    </w:p>
    <w:p>
      <w:pPr>
        <w:ind w:left="360" w:right="-468"/>
        <w:jc w:val="both"/>
        <w:rPr>
          <w:rFonts w:hint="default" w:ascii="Times New Roman" w:hAnsi="Times New Roman" w:cs="Times New Roman"/>
          <w:b/>
          <w:bCs/>
          <w:sz w:val="24"/>
          <w:szCs w:val="24"/>
        </w:rPr>
      </w:pPr>
    </w:p>
    <w:p>
      <w:pPr>
        <w:ind w:left="360" w:right="-468"/>
        <w:jc w:val="both"/>
        <w:rPr>
          <w:rFonts w:hint="default" w:ascii="Times New Roman" w:hAnsi="Times New Roman" w:cs="Times New Roman"/>
          <w:b/>
          <w:bCs/>
          <w:sz w:val="24"/>
          <w:szCs w:val="24"/>
        </w:rPr>
      </w:pPr>
    </w:p>
    <w:p>
      <w:pPr>
        <w:ind w:left="709"/>
        <w:jc w:val="right"/>
        <w:rPr>
          <w:rFonts w:hint="default" w:ascii="Times New Roman" w:hAnsi="Times New Roman" w:cs="Times New Roman"/>
          <w:sz w:val="24"/>
          <w:szCs w:val="24"/>
        </w:rPr>
      </w:pPr>
      <w:r>
        <w:rPr>
          <w:rFonts w:hint="default" w:ascii="Times New Roman" w:hAnsi="Times New Roman" w:cs="Times New Roman"/>
          <w:sz w:val="24"/>
          <w:szCs w:val="24"/>
        </w:rPr>
        <w:t>Ci-après dénommé (e) "le Client", d'autre part,</w:t>
      </w:r>
    </w:p>
    <w:p>
      <w:pPr>
        <w:ind w:left="40"/>
        <w:jc w:val="right"/>
        <w:rPr>
          <w:rFonts w:hint="default" w:ascii="Times New Roman" w:hAnsi="Times New Roman" w:cs="Times New Roman"/>
          <w:sz w:val="24"/>
          <w:szCs w:val="24"/>
        </w:rPr>
      </w:pPr>
    </w:p>
    <w:p>
      <w:pPr>
        <w:jc w:val="right"/>
        <w:rPr>
          <w:rFonts w:hint="default" w:ascii="Times New Roman" w:hAnsi="Times New Roman" w:cs="Times New Roman"/>
          <w:sz w:val="24"/>
          <w:szCs w:val="24"/>
        </w:rPr>
      </w:pPr>
      <w:r>
        <w:rPr>
          <w:rFonts w:hint="default" w:ascii="Times New Roman" w:hAnsi="Times New Roman" w:cs="Times New Roman"/>
          <w:sz w:val="24"/>
          <w:szCs w:val="24"/>
        </w:rPr>
        <w:t xml:space="preserve">              Ci-après dénommés (es) collectivement "Les Parties"</w:t>
      </w:r>
    </w:p>
    <w:p>
      <w:pPr>
        <w:jc w:val="both"/>
        <w:rPr>
          <w:rFonts w:hint="default" w:ascii="Times New Roman" w:hAnsi="Times New Roman" w:cs="Times New Roman"/>
          <w:sz w:val="22"/>
          <w:szCs w:val="22"/>
        </w:rPr>
      </w:pPr>
    </w:p>
    <w:p>
      <w:pPr>
        <w:jc w:val="both"/>
        <w:rPr>
          <w:rFonts w:hint="default" w:ascii="Times New Roman" w:hAnsi="Times New Roman" w:cs="Times New Roman"/>
          <w:b/>
          <w:sz w:val="26"/>
          <w:szCs w:val="26"/>
        </w:rPr>
      </w:pPr>
      <w:r>
        <w:rPr>
          <w:rFonts w:hint="default" w:ascii="Times New Roman" w:hAnsi="Times New Roman" w:cs="Times New Roman"/>
          <w:b/>
          <w:sz w:val="26"/>
          <w:szCs w:val="26"/>
        </w:rPr>
        <w:t>IL A ETE CONVENU CE QUI SUIT :</w:t>
      </w:r>
    </w:p>
    <w:p>
      <w:pPr>
        <w:ind w:left="560"/>
        <w:jc w:val="both"/>
        <w:rPr>
          <w:rFonts w:hint="default" w:ascii="Times New Roman" w:hAnsi="Times New Roman" w:cs="Times New Roman"/>
          <w:sz w:val="26"/>
          <w:szCs w:val="26"/>
        </w:rPr>
      </w:pPr>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1 : Montant et durée du prêt</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4"/>
          <w:szCs w:val="24"/>
        </w:rPr>
      </w:pPr>
      <w:r>
        <w:rPr>
          <w:rFonts w:hint="default" w:ascii="Times New Roman" w:hAnsi="Times New Roman" w:cs="Times New Roman"/>
          <w:sz w:val="24"/>
          <w:szCs w:val="24"/>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rPr>
      </w:pP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cs="Times New Roman"/>
          <w:b/>
          <w:sz w:val="24"/>
          <w:szCs w:val="24"/>
          <w:highlight w:val="yellow"/>
          <w:lang w:val="en-US"/>
        </w:rPr>
        <w:tab/>
      </w:r>
      <w:r>
        <w:rPr>
          <w:rFonts w:hint="default" w:ascii="Times New Roman" w:hAnsi="Times New Roman" w:cs="Times New Roman"/>
          <w:b/>
          <w:sz w:val="24"/>
          <w:szCs w:val="24"/>
          <w:highlight w:val="yellow"/>
        </w:rPr>
        <w:t xml:space="preserve">Montant                          : 10 000 000 F CFA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Durée                              :  12 mois</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xml:space="preserve">Périodicité                      : Trimestrielle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Taux                                : 17 %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TAF                                 : 15 %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Frais de dossier              : 45 000  F CFA</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xml:space="preserve">Prime d’Assurance /ou Prime de risque : </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Prime d’assurance : 452 580  F CFA</w:t>
      </w:r>
    </w:p>
    <w:p>
      <w:pPr>
        <w:tabs>
          <w:tab w:val="left" w:pos="708"/>
          <w:tab w:val="left" w:pos="1416"/>
          <w:tab w:val="left" w:pos="2124"/>
          <w:tab w:val="left" w:pos="2748"/>
          <w:tab w:val="left" w:pos="3708"/>
        </w:tabs>
        <w:jc w:val="both"/>
        <w:rPr>
          <w:rFonts w:hint="default" w:ascii="Times New Roman" w:hAnsi="Times New Roman" w:cs="Times New Roman"/>
          <w:b/>
          <w:sz w:val="24"/>
          <w:szCs w:val="24"/>
          <w:highlight w:val="yellow"/>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Prime de risque (%)« Montant de la prime de risque »  F CFA</w:t>
      </w:r>
    </w:p>
    <w:p>
      <w:p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highlight w:val="yellow"/>
        </w:rPr>
        <w:tab/>
      </w:r>
      <w:r>
        <w:rPr>
          <w:rFonts w:hint="default" w:ascii="Times New Roman" w:hAnsi="Times New Roman" w:cs="Times New Roman"/>
          <w:b/>
          <w:sz w:val="24"/>
          <w:szCs w:val="24"/>
          <w:highlight w:val="yellow"/>
        </w:rPr>
        <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rPr>
        <w:t>Date de la première échéance :</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rPr>
      </w:pPr>
      <w:r>
        <w:rPr>
          <w:rFonts w:hint="default" w:ascii="Times New Roman" w:hAnsi="Times New Roman" w:cs="Times New Roman"/>
          <w:b/>
          <w:sz w:val="24"/>
          <w:szCs w:val="24"/>
        </w:rPr>
        <w:t>Date de dernière échéance :</w:t>
      </w:r>
      <w:r>
        <w:rPr>
          <w:rFonts w:hint="default" w:ascii="Times New Roman" w:hAnsi="Times New Roman" w:cs="Times New Roman"/>
          <w:b/>
          <w:sz w:val="24"/>
          <w:szCs w:val="24"/>
        </w:rPr>
        <w:tab/>
      </w:r>
    </w:p>
    <w:p>
      <w:pPr>
        <w:ind w:left="20"/>
        <w:jc w:val="both"/>
        <w:rPr>
          <w:rFonts w:hint="default" w:ascii="Times New Roman" w:hAnsi="Times New Roman" w:cs="Times New Roman"/>
          <w:b/>
          <w:smallCaps/>
          <w:sz w:val="22"/>
          <w:szCs w:val="22"/>
        </w:rPr>
      </w:pPr>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2 : Utilisation des fonds</w:t>
      </w:r>
    </w:p>
    <w:p>
      <w:pPr>
        <w:ind w:left="20"/>
        <w:jc w:val="both"/>
        <w:rPr>
          <w:rFonts w:hint="default" w:ascii="Times New Roman" w:hAnsi="Times New Roman" w:cs="Times New Roman"/>
          <w:sz w:val="22"/>
          <w:szCs w:val="22"/>
        </w:rPr>
      </w:pPr>
    </w:p>
    <w:p>
      <w:pPr>
        <w:shd w:val="clear" w:color="auto" w:fill="FFFFFF" w:themeFill="background1"/>
        <w:jc w:val="both"/>
        <w:rPr>
          <w:rFonts w:hint="default" w:ascii="Times New Roman" w:hAnsi="Times New Roman" w:cs="Times New Roman"/>
          <w:bCs/>
          <w:sz w:val="24"/>
          <w:szCs w:val="24"/>
        </w:rPr>
      </w:pPr>
      <w:r>
        <w:rPr>
          <w:rFonts w:hint="default" w:ascii="Times New Roman" w:hAnsi="Times New Roman" w:cs="Times New Roman"/>
          <w:sz w:val="24"/>
          <w:szCs w:val="24"/>
        </w:rPr>
        <w:t xml:space="preserve">L’Emprunteur déclare que les fonds sont </w:t>
      </w:r>
      <w:r>
        <w:rPr>
          <w:rFonts w:hint="default" w:ascii="Times New Roman" w:hAnsi="Times New Roman" w:cs="Times New Roman"/>
          <w:sz w:val="24"/>
          <w:szCs w:val="24"/>
          <w:shd w:val="clear" w:color="auto" w:fill="FFFFFF" w:themeFill="background1"/>
        </w:rPr>
        <w:t xml:space="preserve">destinés à </w:t>
      </w:r>
      <w:r>
        <w:rPr>
          <w:rFonts w:hint="default" w:ascii="Times New Roman" w:hAnsi="Times New Roman" w:cs="Times New Roman"/>
          <w:sz w:val="24"/>
          <w:szCs w:val="24"/>
          <w:highlight w:val="yellow"/>
          <w:shd w:val="clear" w:color="auto" w:fill="FFFFFF" w:themeFill="background1"/>
        </w:rPr>
        <w:t>McLaughlin and Sons</w:t>
      </w:r>
      <w:r>
        <w:rPr>
          <w:rFonts w:hint="default" w:ascii="Times New Roman" w:hAnsi="Times New Roman" w:cs="Times New Roman"/>
          <w:color w:val="000000"/>
          <w:sz w:val="24"/>
          <w:szCs w:val="24"/>
        </w:rPr>
        <w:t>.</w:t>
      </w:r>
    </w:p>
    <w:p>
      <w:pPr>
        <w:shd w:val="clear" w:color="auto" w:fill="FFFFFF" w:themeFill="background1"/>
        <w:jc w:val="both"/>
        <w:rPr>
          <w:rFonts w:hint="default" w:ascii="Times New Roman" w:hAnsi="Times New Roman" w:cs="Times New Roman"/>
          <w:sz w:val="22"/>
          <w:szCs w:val="22"/>
        </w:rPr>
      </w:pPr>
      <w:r>
        <w:rPr>
          <w:rFonts w:hint="default" w:ascii="Times New Roman" w:hAnsi="Times New Roman" w:cs="Times New Roman"/>
          <w:sz w:val="24"/>
          <w:szCs w:val="24"/>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u w:val="single"/>
        </w:rPr>
      </w:pPr>
      <w:bookmarkStart w:id="6" w:name="_GoBack"/>
      <w:bookmarkEnd w:id="6"/>
    </w:p>
    <w:p>
      <w:pPr>
        <w:ind w:left="20"/>
        <w:jc w:val="both"/>
        <w:rPr>
          <w:rFonts w:hint="default" w:ascii="Times New Roman" w:hAnsi="Times New Roman" w:cs="Times New Roman"/>
          <w:b/>
          <w:smallCaps/>
          <w:sz w:val="26"/>
          <w:szCs w:val="26"/>
        </w:rPr>
      </w:pPr>
      <w:r>
        <w:rPr>
          <w:rFonts w:hint="default" w:ascii="Times New Roman" w:hAnsi="Times New Roman" w:cs="Times New Roman"/>
          <w:b/>
          <w:smallCaps/>
          <w:sz w:val="26"/>
          <w:szCs w:val="26"/>
        </w:rPr>
        <w:t>Article 3 : Mise à disposition des fonds</w:t>
      </w:r>
    </w:p>
    <w:p>
      <w:pPr>
        <w:jc w:val="both"/>
        <w:rPr>
          <w:rFonts w:hint="default" w:ascii="Times New Roman" w:hAnsi="Times New Roman" w:cs="Times New Roman"/>
          <w:sz w:val="22"/>
          <w:szCs w:val="22"/>
        </w:rPr>
      </w:pPr>
    </w:p>
    <w:p>
      <w:pPr>
        <w:jc w:val="both"/>
        <w:rPr>
          <w:rFonts w:hint="default" w:ascii="Times New Roman" w:hAnsi="Times New Roman" w:cs="Times New Roman"/>
          <w:sz w:val="24"/>
          <w:szCs w:val="24"/>
          <w:vertAlign w:val="superscript"/>
        </w:rPr>
      </w:pPr>
      <w:r>
        <w:rPr>
          <w:rFonts w:hint="default" w:ascii="Times New Roman" w:hAnsi="Times New Roman" w:cs="Times New Roman"/>
          <w:sz w:val="24"/>
          <w:szCs w:val="24"/>
        </w:rPr>
        <w:t>Le montant du prêt ser</w:t>
      </w:r>
      <w:bookmarkStart w:id="1" w:name="_Hlk71196002"/>
      <w:r>
        <w:rPr>
          <w:rFonts w:hint="default" w:ascii="Times New Roman" w:hAnsi="Times New Roman" w:cs="Times New Roman"/>
          <w:sz w:val="24"/>
          <w:szCs w:val="24"/>
        </w:rPr>
        <w:t xml:space="preserve">a versé sur le compte du client </w:t>
      </w:r>
      <w:r>
        <w:rPr>
          <w:rFonts w:hint="default" w:ascii="Times New Roman" w:hAnsi="Times New Roman" w:cs="Times New Roman"/>
          <w:b/>
          <w:sz w:val="24"/>
          <w:szCs w:val="24"/>
          <w:highlight w:val="yellow"/>
        </w:rPr>
        <w:t>N</w:t>
      </w:r>
      <w:bookmarkEnd w:id="1"/>
      <w:r>
        <w:rPr>
          <w:rFonts w:hint="default" w:ascii="Times New Roman" w:hAnsi="Times New Roman" w:cs="Times New Roman"/>
          <w:b/>
          <w:sz w:val="24"/>
          <w:szCs w:val="24"/>
          <w:highlight w:val="yellow"/>
        </w:rPr>
        <w:t>°</w:t>
      </w:r>
      <w:r>
        <w:rPr>
          <w:rFonts w:hint="default" w:ascii="Times New Roman" w:hAnsi="Times New Roman" w:cs="Times New Roman"/>
          <w:sz w:val="24"/>
          <w:szCs w:val="24"/>
          <w:highlight w:val="yellow"/>
        </w:rPr>
        <w:t xml:space="preserve"> 7719089274</w:t>
      </w:r>
      <w:r>
        <w:rPr>
          <w:rFonts w:hint="default" w:ascii="Times New Roman" w:hAnsi="Times New Roman" w:cs="Times New Roman"/>
          <w:b/>
          <w:sz w:val="24"/>
          <w:szCs w:val="24"/>
        </w:rPr>
        <w:t xml:space="preserve"> </w:t>
      </w:r>
      <w:r>
        <w:rPr>
          <w:rFonts w:hint="default" w:ascii="Times New Roman" w:hAnsi="Times New Roman" w:cs="Times New Roman"/>
          <w:sz w:val="24"/>
          <w:szCs w:val="24"/>
        </w:rPr>
        <w:t>ouvert dans les livres de l’Institution.</w:t>
      </w:r>
    </w:p>
    <w:p>
      <w:pPr>
        <w:ind w:left="20"/>
        <w:jc w:val="both"/>
        <w:rPr>
          <w:rFonts w:hint="default" w:ascii="Times New Roman" w:hAnsi="Times New Roman" w:cs="Times New Roman"/>
          <w:sz w:val="24"/>
          <w:szCs w:val="24"/>
        </w:rPr>
      </w:pPr>
      <w:r>
        <w:rPr>
          <w:rFonts w:hint="default" w:ascii="Times New Roman" w:hAnsi="Times New Roman" w:cs="Times New Roman"/>
          <w:sz w:val="24"/>
          <w:szCs w:val="24"/>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rPr>
      </w:pPr>
    </w:p>
    <w:p>
      <w:pPr>
        <w:ind w:left="1276" w:hanging="1256"/>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4 : Remboursement</w:t>
      </w:r>
    </w:p>
    <w:p>
      <w:pPr>
        <w:ind w:left="1276" w:hanging="1256"/>
        <w:jc w:val="both"/>
        <w:rPr>
          <w:rFonts w:hint="default" w:ascii="Times New Roman" w:hAnsi="Times New Roman" w:cs="Times New Roman"/>
          <w:b/>
          <w:smallCaps/>
          <w:sz w:val="22"/>
          <w:szCs w:val="22"/>
        </w:rPr>
      </w:pPr>
    </w:p>
    <w:p>
      <w:pPr>
        <w:jc w:val="both"/>
        <w:rPr>
          <w:rFonts w:hint="default" w:ascii="Times New Roman" w:hAnsi="Times New Roman" w:cs="Times New Roman"/>
          <w:b/>
          <w:sz w:val="24"/>
          <w:szCs w:val="24"/>
        </w:rPr>
      </w:pPr>
      <w:r>
        <w:rPr>
          <w:rFonts w:hint="default" w:ascii="Times New Roman" w:hAnsi="Times New Roman" w:cs="Times New Roman"/>
          <w:sz w:val="22"/>
          <w:szCs w:val="22"/>
        </w:rPr>
        <w:t xml:space="preserve">L'Emprunteur s'oblige à rembourser le montant en principal du Prêt </w:t>
      </w:r>
      <w:r>
        <w:rPr>
          <w:rFonts w:hint="default" w:ascii="Times New Roman" w:hAnsi="Times New Roman" w:cs="Times New Roman"/>
          <w:sz w:val="22"/>
          <w:szCs w:val="22"/>
          <w:shd w:val="clear" w:color="auto" w:fill="FFFFFF" w:themeFill="background1"/>
        </w:rPr>
        <w:t>au moyen de</w:t>
      </w:r>
      <w:r>
        <w:rPr>
          <w:rFonts w:hint="default" w:ascii="Times New Roman" w:hAnsi="Times New Roman" w:cs="Times New Roman"/>
          <w:sz w:val="22"/>
          <w:szCs w:val="22"/>
          <w:highlight w:val="yellow"/>
          <w:shd w:val="clear" w:color="auto" w:fill="FFFFFF" w:themeFill="background1"/>
        </w:rPr>
        <w:t xml:space="preserve"> </w:t>
      </w:r>
      <w:r>
        <w:rPr>
          <w:rFonts w:hint="default" w:ascii="Times New Roman" w:hAnsi="Times New Roman" w:cs="Times New Roman"/>
          <w:sz w:val="24"/>
          <w:szCs w:val="24"/>
          <w:highlight w:val="yellow"/>
          <w:shd w:val="clear" w:fill="auto"/>
          <w:lang w:val="en-US"/>
        </w:rPr>
        <w:t>12 (douze) mois</w:t>
      </w:r>
      <w:r>
        <w:rPr>
          <w:rFonts w:hint="default" w:ascii="Times New Roman" w:hAnsi="Times New Roman" w:cs="Times New Roman"/>
          <w:sz w:val="24"/>
          <w:szCs w:val="24"/>
          <w:highlight w:val="yellow"/>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yellow"/>
        </w:rPr>
        <w:t>d</w:t>
      </w:r>
      <w:bookmarkStart w:id="3" w:name="_Hlk68252455"/>
      <w:r>
        <w:rPr>
          <w:rFonts w:hint="default" w:ascii="Times New Roman" w:hAnsi="Times New Roman" w:cs="Times New Roman"/>
          <w:sz w:val="24"/>
          <w:szCs w:val="24"/>
          <w:highlight w:val="yellow"/>
        </w:rPr>
        <w:t xml:space="preserve">e </w:t>
      </w:r>
      <w:bookmarkEnd w:id="2"/>
      <w:r>
        <w:rPr>
          <w:rFonts w:hint="default" w:ascii="Times New Roman" w:hAnsi="Times New Roman" w:cs="Times New Roman"/>
          <w:sz w:val="24"/>
          <w:szCs w:val="24"/>
          <w:highlight w:val="yellow"/>
        </w:rPr>
        <w:t xml:space="preserve">3 </w:t>
      </w:r>
      <w:r>
        <w:rPr>
          <w:rFonts w:hint="default" w:ascii="Times New Roman" w:hAnsi="Times New Roman" w:cs="Times New Roman"/>
          <w:b/>
          <w:bCs/>
          <w:sz w:val="24"/>
          <w:szCs w:val="24"/>
          <w:highlight w:val="yellow"/>
        </w:rPr>
        <w:t>trimestre</w:t>
      </w:r>
      <w:r>
        <w:rPr>
          <w:rFonts w:hint="default" w:ascii="Times New Roman" w:hAnsi="Times New Roman" w:cs="Times New Roman"/>
          <w:b/>
          <w:sz w:val="24"/>
          <w:szCs w:val="24"/>
          <w:highlight w:val="yellow"/>
        </w:rPr>
        <w:t xml:space="preserve">, avec </w:t>
      </w:r>
      <w:bookmarkStart w:id="4" w:name="_Hlk78957570"/>
      <w:r>
        <w:rPr>
          <w:rFonts w:hint="default" w:ascii="Times New Roman" w:hAnsi="Times New Roman" w:cs="Times New Roman"/>
          <w:b/>
          <w:sz w:val="24"/>
          <w:szCs w:val="24"/>
          <w:highlight w:val="yellow"/>
        </w:rPr>
        <w:t xml:space="preserve">une échéance d’un montant </w:t>
      </w:r>
      <w:bookmarkStart w:id="5" w:name="_Hlk81292668"/>
      <w:r>
        <w:rPr>
          <w:rFonts w:hint="default" w:ascii="Times New Roman" w:hAnsi="Times New Roman" w:cs="Times New Roman"/>
          <w:b/>
          <w:sz w:val="24"/>
          <w:szCs w:val="24"/>
          <w:highlight w:val="yellow"/>
        </w:rPr>
        <w:t xml:space="preserve">de </w:t>
      </w:r>
      <w:bookmarkEnd w:id="3"/>
      <w:bookmarkEnd w:id="4"/>
      <w:bookmarkEnd w:id="5"/>
      <w:r>
        <w:rPr>
          <w:rFonts w:hint="default" w:ascii="Times New Roman" w:hAnsi="Times New Roman" w:cs="Times New Roman"/>
          <w:b/>
          <w:bCs/>
          <w:sz w:val="24"/>
          <w:szCs w:val="24"/>
          <w:highlight w:val="yellow"/>
        </w:rPr>
        <w:t>cinq cent mille</w:t>
      </w:r>
      <w:r>
        <w:rPr>
          <w:rFonts w:hint="default" w:cs="Times New Roman"/>
          <w:b/>
          <w:bCs/>
          <w:sz w:val="24"/>
          <w:szCs w:val="24"/>
          <w:highlight w:val="yellow"/>
          <w:lang w:val="en-US"/>
        </w:rPr>
        <w:t xml:space="preserve"> (500 000)</w:t>
      </w:r>
      <w:r>
        <w:rPr>
          <w:rFonts w:hint="default" w:ascii="Times New Roman" w:hAnsi="Times New Roman" w:cs="Times New Roman"/>
          <w:b/>
          <w:sz w:val="24"/>
          <w:szCs w:val="24"/>
        </w:rPr>
        <w:t xml:space="preserve"> </w:t>
      </w:r>
      <w:r>
        <w:rPr>
          <w:rFonts w:hint="default" w:ascii="Times New Roman" w:hAnsi="Times New Roman" w:cs="Times New Roman"/>
          <w:bCs/>
          <w:sz w:val="24"/>
          <w:szCs w:val="24"/>
        </w:rPr>
        <w:t>chaque mois</w:t>
      </w:r>
      <w:r>
        <w:rPr>
          <w:rFonts w:hint="default" w:ascii="Times New Roman" w:hAnsi="Times New Roman" w:cs="Times New Roman"/>
          <w:sz w:val="24"/>
          <w:szCs w:val="24"/>
        </w:rPr>
        <w:t xml:space="preserve">, </w:t>
      </w:r>
      <w:r>
        <w:rPr>
          <w:rFonts w:hint="default" w:ascii="Times New Roman" w:hAnsi="Times New Roman" w:cs="Times New Roman"/>
          <w:sz w:val="22"/>
          <w:szCs w:val="22"/>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Ainsi le montant de l’échéance mensuelle est morcelé en paiement quotidien soit </w:t>
      </w:r>
      <w:r>
        <w:rPr>
          <w:rFonts w:hint="default" w:ascii="Times New Roman" w:hAnsi="Times New Roman" w:cs="Times New Roman"/>
          <w:sz w:val="24"/>
          <w:szCs w:val="24"/>
          <w:highlight w:val="yellow"/>
        </w:rPr>
        <w:t>vingt-cinq mille(25 000)</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(soit l’échéance mensuelle divisé par 20) »,</w:t>
      </w:r>
      <w:r>
        <w:rPr>
          <w:rFonts w:hint="default" w:ascii="Times New Roman" w:hAnsi="Times New Roman" w:cs="Times New Roman"/>
          <w:sz w:val="24"/>
          <w:szCs w:val="24"/>
        </w:rPr>
        <w:t xml:space="preserve"> </w:t>
      </w:r>
      <w:r>
        <w:rPr>
          <w:rFonts w:hint="default" w:ascii="Times New Roman" w:hAnsi="Times New Roman" w:cs="Times New Roman"/>
          <w:sz w:val="22"/>
          <w:szCs w:val="22"/>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5 : Intérêts de retard</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rPr>
      </w:pPr>
      <w:r>
        <w:rPr>
          <w:rFonts w:hint="default" w:ascii="Times New Roman" w:hAnsi="Times New Roman" w:cs="Times New Roman"/>
          <w:sz w:val="22"/>
          <w:szCs w:val="22"/>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Cette stipulation ne pourra nuire à l’exigibilité survenue et par suite valoir accord de délai de règlement.</w:t>
      </w:r>
    </w:p>
    <w:p>
      <w:pPr>
        <w:jc w:val="both"/>
        <w:rPr>
          <w:rFonts w:hint="default" w:ascii="Times New Roman" w:hAnsi="Times New Roman" w:cs="Times New Roman"/>
          <w:b/>
          <w:sz w:val="22"/>
          <w:szCs w:val="22"/>
        </w:rPr>
      </w:pPr>
    </w:p>
    <w:p>
      <w:pPr>
        <w:jc w:val="both"/>
        <w:rPr>
          <w:rFonts w:hint="default" w:ascii="Times New Roman" w:hAnsi="Times New Roman" w:cs="Times New Roman"/>
          <w:b/>
          <w:sz w:val="22"/>
          <w:szCs w:val="22"/>
        </w:rPr>
      </w:pPr>
    </w:p>
    <w:p>
      <w:pPr>
        <w:jc w:val="both"/>
        <w:rPr>
          <w:rFonts w:hint="default" w:ascii="Times New Roman" w:hAnsi="Times New Roman" w:cs="Times New Roman"/>
          <w:b/>
          <w:sz w:val="22"/>
          <w:szCs w:val="22"/>
        </w:rPr>
      </w:pPr>
      <w:r>
        <w:rPr>
          <w:rFonts w:hint="default" w:ascii="Times New Roman" w:hAnsi="Times New Roman" w:cs="Times New Roman"/>
          <w:b/>
          <w:sz w:val="22"/>
          <w:szCs w:val="22"/>
        </w:rPr>
        <w:t>Article 6 : Garanties</w:t>
      </w:r>
    </w:p>
    <w:p>
      <w:pPr>
        <w:jc w:val="both"/>
        <w:rPr>
          <w:rFonts w:hint="default" w:ascii="Times New Roman" w:hAnsi="Times New Roman" w:cs="Times New Roman"/>
          <w:sz w:val="22"/>
          <w:szCs w:val="22"/>
        </w:rPr>
      </w:pPr>
    </w:p>
    <w:p>
      <w:pPr>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6.1 – </w:t>
      </w:r>
      <w:r>
        <w:rPr>
          <w:rFonts w:hint="default" w:ascii="Times New Roman" w:hAnsi="Times New Roman" w:cs="Times New Roman"/>
          <w:b/>
          <w:sz w:val="22"/>
          <w:szCs w:val="22"/>
        </w:rPr>
        <w:t>: Description du bien gagé</w:t>
      </w:r>
    </w:p>
    <w:p>
      <w:pPr>
        <w:jc w:val="both"/>
        <w:rPr>
          <w:rFonts w:hint="default" w:ascii="Times New Roman" w:hAnsi="Times New Roman" w:cs="Times New Roman"/>
          <w:b/>
          <w:sz w:val="22"/>
          <w:szCs w:val="22"/>
        </w:rPr>
      </w:pPr>
    </w:p>
    <w:p>
      <w:pPr>
        <w:autoSpaceDE w:val="0"/>
        <w:autoSpaceDN w:val="0"/>
        <w:adjustRightInd w:val="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yellow"/>
          <w:lang w:val="en-US"/>
        </w:rPr>
        <w:t>deux véhicule(s) et trois Stock(s)</w:t>
      </w:r>
      <w:r>
        <w:rPr>
          <w:rFonts w:hint="default" w:ascii="Times New Roman" w:hAnsi="Times New Roman" w:cs="Times New Roman"/>
          <w:color w:val="000000"/>
          <w:sz w:val="24"/>
          <w:szCs w:val="24"/>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rPr>
      </w:pP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w:t>
      </w:r>
      <w:r>
        <w:rPr>
          <w:rFonts w:hint="default" w:cs="Times New Roman"/>
          <w:sz w:val="24"/>
          <w:szCs w:val="24"/>
          <w:highlight w:val="yellow"/>
          <w:lang w:val="en-US"/>
        </w:rPr>
        <w:t xml:space="preserve">Soit un </w:t>
      </w:r>
      <w:r>
        <w:rPr>
          <w:rFonts w:hint="default" w:ascii="Times New Roman" w:hAnsi="Times New Roman" w:cs="Times New Roman"/>
          <w:sz w:val="24"/>
          <w:szCs w:val="24"/>
          <w:highlight w:val="yellow"/>
        </w:rPr>
        <w:t>véhicule</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 V6</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w:t>
      </w:r>
      <w:r>
        <w:rPr>
          <w:rFonts w:hint="default" w:cs="Times New Roman"/>
          <w:sz w:val="24"/>
          <w:szCs w:val="24"/>
          <w:highlight w:val="yellow"/>
          <w:lang w:val="en-US"/>
        </w:rPr>
        <w:t xml:space="preserve">Soit un </w:t>
      </w:r>
      <w:r>
        <w:rPr>
          <w:rFonts w:hint="default" w:ascii="Times New Roman" w:hAnsi="Times New Roman" w:cs="Times New Roman"/>
          <w:sz w:val="24"/>
          <w:szCs w:val="24"/>
          <w:highlight w:val="yellow"/>
        </w:rPr>
        <w:t>véhicule</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 V8</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w:t>
      </w:r>
      <w:r>
        <w:rPr>
          <w:rFonts w:hint="default" w:cs="Times New Roman"/>
          <w:sz w:val="24"/>
          <w:szCs w:val="24"/>
          <w:highlight w:val="yellow"/>
          <w:lang w:val="en-US"/>
        </w:rPr>
        <w:t xml:space="preserve">Soit un </w:t>
      </w:r>
      <w:r>
        <w:rPr>
          <w:rFonts w:hint="default" w:ascii="Times New Roman" w:hAnsi="Times New Roman" w:cs="Times New Roman"/>
          <w:sz w:val="24"/>
          <w:szCs w:val="24"/>
          <w:highlight w:val="yellow"/>
        </w:rPr>
        <w:t>stock</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 40 cartons de spaguetties Bonita</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w:t>
      </w:r>
      <w:r>
        <w:rPr>
          <w:rFonts w:hint="default" w:cs="Times New Roman"/>
          <w:sz w:val="24"/>
          <w:szCs w:val="24"/>
          <w:highlight w:val="yellow"/>
          <w:lang w:val="en-US"/>
        </w:rPr>
        <w:t xml:space="preserve">Soit un </w:t>
      </w:r>
      <w:r>
        <w:rPr>
          <w:rFonts w:hint="default" w:ascii="Times New Roman" w:hAnsi="Times New Roman" w:cs="Times New Roman"/>
          <w:sz w:val="24"/>
          <w:szCs w:val="24"/>
          <w:highlight w:val="yellow"/>
        </w:rPr>
        <w:t>stock</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 10 bouteille de gaz</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w:t>
      </w:r>
      <w:r>
        <w:rPr>
          <w:rFonts w:hint="default" w:cs="Times New Roman"/>
          <w:sz w:val="24"/>
          <w:szCs w:val="24"/>
          <w:highlight w:val="yellow"/>
          <w:lang w:val="en-US"/>
        </w:rPr>
        <w:t xml:space="preserve">Soit un </w:t>
      </w:r>
      <w:r>
        <w:rPr>
          <w:rFonts w:hint="default" w:ascii="Times New Roman" w:hAnsi="Times New Roman" w:cs="Times New Roman"/>
          <w:sz w:val="24"/>
          <w:szCs w:val="24"/>
          <w:highlight w:val="yellow"/>
        </w:rPr>
        <w:t>stock</w:t>
      </w:r>
      <w:r>
        <w:rPr>
          <w:rFonts w:hint="default" w:cs="Times New Roman"/>
          <w:sz w:val="24"/>
          <w:szCs w:val="24"/>
          <w:highlight w:val="yellow"/>
          <w:lang w:val="en-US"/>
        </w:rPr>
        <w:t xml:space="preserve">: </w:t>
      </w:r>
      <w:r>
        <w:rPr>
          <w:rFonts w:hint="default" w:ascii="Times New Roman" w:hAnsi="Times New Roman" w:cs="Times New Roman"/>
          <w:sz w:val="24"/>
          <w:szCs w:val="24"/>
          <w:highlight w:val="yellow"/>
        </w:rPr>
        <w:t> 12 tables en plastique</w:t>
      </w:r>
    </w:p>
    <w:p>
      <w:pPr>
        <w:autoSpaceDE w:val="0"/>
        <w:autoSpaceDN w:val="0"/>
        <w:adjustRightInd w:val="0"/>
        <w:jc w:val="both"/>
        <w:rPr>
          <w:rFonts w:hint="default" w:ascii="Times New Roman" w:hAnsi="Times New Roman" w:cs="Times New Roman"/>
          <w:b/>
          <w:sz w:val="24"/>
          <w:szCs w:val="24"/>
          <w:u w:val="single"/>
        </w:rPr>
      </w:pPr>
    </w:p>
    <w:p>
      <w:pPr>
        <w:autoSpaceDE w:val="0"/>
        <w:autoSpaceDN w:val="0"/>
        <w:adjustRightInd w:val="0"/>
        <w:jc w:val="both"/>
        <w:rPr>
          <w:rFonts w:hint="default" w:ascii="Times New Roman" w:hAnsi="Times New Roman" w:cs="Times New Roman"/>
          <w:b/>
          <w:sz w:val="24"/>
          <w:szCs w:val="24"/>
          <w:u w:val="single"/>
        </w:rPr>
      </w:pPr>
      <w:r>
        <w:rPr>
          <w:rFonts w:hint="default" w:ascii="Times New Roman" w:hAnsi="Times New Roman" w:cs="Times New Roman"/>
          <w:b/>
          <w:sz w:val="24"/>
          <w:szCs w:val="24"/>
          <w:u w:val="single"/>
        </w:rPr>
        <w:t>6.2 : Réalisation du gage</w:t>
      </w:r>
    </w:p>
    <w:p>
      <w:pPr>
        <w:autoSpaceDE w:val="0"/>
        <w:autoSpaceDN w:val="0"/>
        <w:adjustRightInd w:val="0"/>
        <w:jc w:val="both"/>
        <w:rPr>
          <w:rFonts w:hint="default" w:ascii="Times New Roman" w:hAnsi="Times New Roman" w:cs="Times New Roman"/>
          <w:b/>
          <w:color w:val="000000"/>
          <w:sz w:val="24"/>
          <w:szCs w:val="24"/>
        </w:rPr>
      </w:pPr>
    </w:p>
    <w:p>
      <w:pPr>
        <w:autoSpaceDE w:val="0"/>
        <w:autoSpaceDN w:val="0"/>
        <w:adjustRightInd w:val="0"/>
        <w:jc w:val="both"/>
        <w:rPr>
          <w:rFonts w:hint="default" w:ascii="Times New Roman" w:hAnsi="Times New Roman" w:cs="Times New Roman"/>
          <w:b/>
          <w:color w:val="000000"/>
          <w:sz w:val="24"/>
          <w:szCs w:val="24"/>
        </w:rPr>
      </w:pPr>
      <w:r>
        <w:rPr>
          <w:rFonts w:hint="default" w:ascii="Times New Roman" w:hAnsi="Times New Roman" w:cs="Times New Roman"/>
          <w:b/>
          <w:color w:val="000000"/>
          <w:sz w:val="24"/>
          <w:szCs w:val="24"/>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rPr>
        <w:t xml:space="preserve">. </w:t>
      </w: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mallCaps/>
          <w:sz w:val="22"/>
          <w:szCs w:val="22"/>
        </w:rPr>
        <w:t xml:space="preserve">             </w:t>
      </w:r>
    </w:p>
    <w:p>
      <w:pPr>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6.3- </w:t>
      </w:r>
      <w:r>
        <w:rPr>
          <w:rFonts w:hint="default" w:ascii="Times New Roman" w:hAnsi="Times New Roman" w:cs="Times New Roman"/>
          <w:b/>
          <w:sz w:val="22"/>
          <w:szCs w:val="22"/>
        </w:rPr>
        <w:t>Autres garantie</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yellow"/>
        </w:rPr>
      </w:pP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1.Dépôt de garantie de 5 FCFA:  Qui dolore voluptatibus dolore voluptatem quisquam sint iste sed quibusdam.</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1.Constitution de PEP de 192 713 943 FCFA:  Necessitatibus dolore aut laudantium expedita nostrum officia laudantium vero accusamus quia ut quo aspernatur id perferendis eos.</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1.Constitution de dépôt hebdomadaire de 18 082 FCFA:  Et ut perspiciatis assumenda quia voluptas minus ut omnis laudantium.</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1.Constitution de PEP de 45 851 520 FCFA:  Quam voluptas porro necessitatibus molestiae beatae quaerat et saepe illum consequuntur ea eos corporis et quos temporibus est minus non.</w:t>
      </w:r>
    </w:p>
    <w:p>
      <w:pPr>
        <w:numPr>
          <w:ilvl w:val="0"/>
          <w:numId w:val="0"/>
        </w:numPr>
        <w:ind w:leftChars="0" w:firstLine="708" w:firstLineChars="0"/>
        <w:jc w:val="both"/>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1.Nantissement de Dépôt à terme (DAT) de 5 FCFA:  Et sed assumenda hic veniam voluptas odit voluptatum optio rerum non cumque ut quidem qui sit sit temporibus.</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7 : Assurances</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A toute demande de l’Institution le Client devra justifier des assurances et du paiement des primes.</w:t>
      </w:r>
    </w:p>
    <w:p>
      <w:pPr>
        <w:jc w:val="both"/>
        <w:rPr>
          <w:rFonts w:hint="default" w:ascii="Times New Roman" w:hAnsi="Times New Roman" w:cs="Times New Roman"/>
          <w:sz w:val="22"/>
          <w:szCs w:val="22"/>
        </w:rPr>
      </w:pPr>
    </w:p>
    <w:p>
      <w:pPr>
        <w:ind w:left="20"/>
        <w:jc w:val="both"/>
        <w:rPr>
          <w:rFonts w:hint="default" w:ascii="Times New Roman" w:hAnsi="Times New Roman" w:cs="Times New Roman"/>
          <w:smallCaps/>
          <w:sz w:val="22"/>
          <w:szCs w:val="22"/>
        </w:rPr>
      </w:pPr>
      <w:r>
        <w:rPr>
          <w:rFonts w:hint="default" w:ascii="Times New Roman" w:hAnsi="Times New Roman" w:cs="Times New Roman"/>
          <w:b/>
          <w:smallCaps/>
          <w:sz w:val="22"/>
          <w:szCs w:val="22"/>
        </w:rPr>
        <w:t xml:space="preserve">Article 8 : Déclarations du Client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 Client déclare et garantit au Prêteur :</w:t>
      </w:r>
    </w:p>
    <w:p>
      <w:pPr>
        <w:ind w:left="709"/>
        <w:jc w:val="both"/>
        <w:rPr>
          <w:rFonts w:hint="default" w:ascii="Times New Roman" w:hAnsi="Times New Roman" w:cs="Times New Roman"/>
          <w:sz w:val="22"/>
          <w:szCs w:val="22"/>
        </w:rPr>
      </w:pP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Qu’il a toutes les autorisations nécessaires pour l’exercice de ses activités.</w:t>
      </w: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9 : Exigibilité anticipée – Résiliation du contrat</w:t>
      </w:r>
    </w:p>
    <w:p>
      <w:pPr>
        <w:ind w:left="20"/>
        <w:jc w:val="both"/>
        <w:rPr>
          <w:rFonts w:hint="default" w:ascii="Times New Roman" w:hAnsi="Times New Roman" w:cs="Times New Roman"/>
          <w:b/>
          <w:smallCaps/>
          <w:sz w:val="22"/>
          <w:szCs w:val="22"/>
        </w:rPr>
      </w:pPr>
    </w:p>
    <w:p>
      <w:pPr>
        <w:ind w:left="20"/>
        <w:jc w:val="both"/>
        <w:rPr>
          <w:rFonts w:hint="default" w:ascii="Times New Roman" w:hAnsi="Times New Roman" w:cs="Times New Roman"/>
          <w:smallCaps/>
          <w:sz w:val="22"/>
          <w:szCs w:val="22"/>
        </w:rPr>
      </w:pPr>
      <w:r>
        <w:rPr>
          <w:rFonts w:hint="default" w:ascii="Times New Roman" w:hAnsi="Times New Roman" w:cs="Times New Roman"/>
          <w:b/>
          <w:smallCaps/>
          <w:sz w:val="22"/>
          <w:szCs w:val="22"/>
        </w:rPr>
        <w:t xml:space="preserve">             9.1 Exigibilité de plein droit</w:t>
      </w:r>
    </w:p>
    <w:p>
      <w:pPr>
        <w:jc w:val="both"/>
        <w:rPr>
          <w:rFonts w:hint="default" w:ascii="Times New Roman" w:hAnsi="Times New Roman" w:cs="Times New Roman"/>
          <w:smallCaps/>
          <w:sz w:val="22"/>
          <w:szCs w:val="22"/>
        </w:rPr>
      </w:pPr>
    </w:p>
    <w:p>
      <w:pPr>
        <w:jc w:val="both"/>
        <w:rPr>
          <w:rFonts w:hint="default" w:ascii="Times New Roman" w:hAnsi="Times New Roman" w:cs="Times New Roman"/>
          <w:smallCaps/>
          <w:sz w:val="22"/>
          <w:szCs w:val="22"/>
        </w:rPr>
      </w:pPr>
      <w:r>
        <w:rPr>
          <w:rFonts w:hint="default" w:ascii="Times New Roman" w:hAnsi="Times New Roman" w:cs="Times New Roman"/>
          <w:sz w:val="22"/>
          <w:szCs w:val="22"/>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Ainsi que tous les cas où la loi le permet.</w:t>
      </w:r>
    </w:p>
    <w:p>
      <w:pPr>
        <w:tabs>
          <w:tab w:val="left" w:pos="640"/>
        </w:tabs>
        <w:ind w:left="640" w:right="5"/>
        <w:jc w:val="both"/>
        <w:rPr>
          <w:rFonts w:hint="default" w:ascii="Times New Roman" w:hAnsi="Times New Roman" w:cs="Times New Roman"/>
          <w:b/>
          <w:sz w:val="22"/>
          <w:szCs w:val="22"/>
        </w:rPr>
      </w:pPr>
    </w:p>
    <w:p>
      <w:pPr>
        <w:tabs>
          <w:tab w:val="left" w:pos="640"/>
        </w:tabs>
        <w:ind w:left="640" w:right="5"/>
        <w:jc w:val="both"/>
        <w:rPr>
          <w:rFonts w:hint="default" w:ascii="Times New Roman" w:hAnsi="Times New Roman" w:cs="Times New Roman"/>
          <w:b/>
          <w:sz w:val="22"/>
          <w:szCs w:val="22"/>
        </w:rPr>
      </w:pPr>
      <w:r>
        <w:rPr>
          <w:rFonts w:hint="default" w:ascii="Times New Roman" w:hAnsi="Times New Roman" w:cs="Times New Roman"/>
          <w:b/>
          <w:sz w:val="22"/>
          <w:szCs w:val="22"/>
        </w:rPr>
        <w:t>9.2 Exigibilité facultative</w:t>
      </w:r>
    </w:p>
    <w:p>
      <w:pPr>
        <w:tabs>
          <w:tab w:val="left" w:pos="640"/>
        </w:tabs>
        <w:ind w:left="640" w:right="5"/>
        <w:jc w:val="both"/>
        <w:rPr>
          <w:rFonts w:hint="default" w:ascii="Times New Roman" w:hAnsi="Times New Roman" w:cs="Times New Roman"/>
          <w:sz w:val="22"/>
          <w:szCs w:val="22"/>
        </w:rPr>
      </w:pPr>
    </w:p>
    <w:p>
      <w:pPr>
        <w:tabs>
          <w:tab w:val="left" w:pos="640"/>
        </w:tabs>
        <w:ind w:right="5"/>
        <w:jc w:val="both"/>
        <w:rPr>
          <w:rFonts w:hint="default" w:ascii="Times New Roman" w:hAnsi="Times New Roman" w:cs="Times New Roman"/>
          <w:sz w:val="22"/>
          <w:szCs w:val="22"/>
        </w:rPr>
      </w:pPr>
      <w:r>
        <w:rPr>
          <w:rFonts w:hint="default" w:ascii="Times New Roman" w:hAnsi="Times New Roman" w:cs="Times New Roman"/>
          <w:sz w:val="22"/>
          <w:szCs w:val="22"/>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rPr>
      </w:pPr>
      <w:r>
        <w:rPr>
          <w:rFonts w:hint="default" w:ascii="Times New Roman" w:hAnsi="Times New Roman" w:cs="Times New Roman"/>
          <w:sz w:val="22"/>
          <w:szCs w:val="22"/>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rPr>
      </w:pPr>
      <w:r>
        <w:rPr>
          <w:rFonts w:hint="default" w:ascii="Times New Roman" w:hAnsi="Times New Roman" w:cs="Times New Roman"/>
          <w:sz w:val="22"/>
          <w:szCs w:val="22"/>
        </w:rPr>
        <w:t>Exclusion par la Banque Centrale de la signature du Client,</w:t>
      </w: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rPr>
      </w:pPr>
      <w:r>
        <w:rPr>
          <w:rFonts w:hint="default" w:ascii="Times New Roman" w:hAnsi="Times New Roman" w:cs="Times New Roman"/>
          <w:sz w:val="22"/>
          <w:szCs w:val="22"/>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rPr>
      </w:pPr>
      <w:r>
        <w:rPr>
          <w:rFonts w:hint="default" w:ascii="Times New Roman" w:hAnsi="Times New Roman" w:cs="Times New Roman"/>
          <w:sz w:val="22"/>
          <w:szCs w:val="22"/>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rPr>
      </w:pPr>
    </w:p>
    <w:p>
      <w:pPr>
        <w:ind w:left="20"/>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 xml:space="preserve">Article 10 : Remboursements anticipés </w:t>
      </w:r>
    </w:p>
    <w:p>
      <w:pPr>
        <w:ind w:left="20"/>
        <w:jc w:val="both"/>
        <w:rPr>
          <w:rFonts w:hint="default" w:ascii="Times New Roman" w:hAnsi="Times New Roman" w:cs="Times New Roman"/>
          <w:sz w:val="22"/>
          <w:szCs w:val="22"/>
        </w:rPr>
      </w:pPr>
    </w:p>
    <w:p>
      <w:pPr>
        <w:ind w:left="20"/>
        <w:jc w:val="both"/>
        <w:rPr>
          <w:rFonts w:hint="default" w:ascii="Times New Roman" w:hAnsi="Times New Roman" w:cs="Times New Roman"/>
          <w:sz w:val="22"/>
          <w:szCs w:val="22"/>
        </w:rPr>
      </w:pPr>
      <w:r>
        <w:rPr>
          <w:rFonts w:hint="default" w:ascii="Times New Roman" w:hAnsi="Times New Roman" w:cs="Times New Roman"/>
          <w:sz w:val="22"/>
          <w:szCs w:val="22"/>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z w:val="22"/>
          <w:szCs w:val="22"/>
        </w:rPr>
      </w:pPr>
      <w:r>
        <w:rPr>
          <w:rFonts w:hint="default" w:ascii="Times New Roman" w:hAnsi="Times New Roman" w:cs="Times New Roman"/>
          <w:b/>
          <w:smallCaps/>
          <w:sz w:val="22"/>
          <w:szCs w:val="22"/>
        </w:rPr>
        <w:t xml:space="preserve">Article 11 : </w:t>
      </w:r>
      <w:r>
        <w:rPr>
          <w:rFonts w:hint="default" w:ascii="Times New Roman" w:hAnsi="Times New Roman" w:cs="Times New Roman"/>
          <w:b/>
          <w:sz w:val="22"/>
          <w:szCs w:val="22"/>
        </w:rPr>
        <w:t xml:space="preserve">Durée – Renouvellement du gage </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rPr>
      </w:pPr>
    </w:p>
    <w:p>
      <w:pPr>
        <w:tabs>
          <w:tab w:val="left" w:pos="709"/>
        </w:tabs>
        <w:ind w:right="5"/>
        <w:jc w:val="both"/>
        <w:rPr>
          <w:rFonts w:hint="default" w:ascii="Times New Roman" w:hAnsi="Times New Roman" w:cs="Times New Roman"/>
          <w:b/>
          <w:smallCaps/>
          <w:sz w:val="22"/>
          <w:szCs w:val="22"/>
        </w:rPr>
      </w:pPr>
      <w:r>
        <w:rPr>
          <w:rFonts w:hint="default" w:ascii="Times New Roman" w:hAnsi="Times New Roman" w:cs="Times New Roman"/>
          <w:b/>
          <w:smallCaps/>
          <w:sz w:val="22"/>
          <w:szCs w:val="22"/>
        </w:rPr>
        <w:t>Article 12- Impôts et frais</w:t>
      </w:r>
    </w:p>
    <w:p>
      <w:pPr>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rPr>
      </w:pPr>
    </w:p>
    <w:p>
      <w:pPr>
        <w:jc w:val="both"/>
        <w:rPr>
          <w:rFonts w:hint="default" w:ascii="Times New Roman" w:hAnsi="Times New Roman" w:cs="Times New Roman"/>
          <w:b/>
          <w:smallCaps/>
          <w:sz w:val="22"/>
          <w:szCs w:val="22"/>
          <w:u w:val="single"/>
        </w:rPr>
      </w:pPr>
      <w:r>
        <w:rPr>
          <w:rFonts w:hint="default" w:ascii="Times New Roman" w:hAnsi="Times New Roman" w:cs="Times New Roman"/>
          <w:b/>
          <w:smallCaps/>
          <w:sz w:val="22"/>
          <w:szCs w:val="22"/>
        </w:rPr>
        <w:t>Article 13- Loi applicable - Attribution de compétence</w:t>
      </w:r>
    </w:p>
    <w:p>
      <w:pPr>
        <w:tabs>
          <w:tab w:val="left" w:pos="20"/>
        </w:tabs>
        <w:ind w:right="5"/>
        <w:jc w:val="both"/>
        <w:rPr>
          <w:rFonts w:hint="default" w:ascii="Times New Roman" w:hAnsi="Times New Roman" w:cs="Times New Roman"/>
          <w:sz w:val="22"/>
          <w:szCs w:val="22"/>
          <w:u w:val="single"/>
        </w:rPr>
      </w:pPr>
    </w:p>
    <w:p>
      <w:pPr>
        <w:tabs>
          <w:tab w:val="left" w:pos="20"/>
        </w:tabs>
        <w:ind w:right="5"/>
        <w:jc w:val="both"/>
        <w:rPr>
          <w:rFonts w:hint="default" w:ascii="Times New Roman" w:hAnsi="Times New Roman" w:cs="Times New Roman"/>
          <w:sz w:val="22"/>
          <w:szCs w:val="22"/>
          <w:u w:val="single"/>
        </w:rPr>
      </w:pPr>
      <w:r>
        <w:rPr>
          <w:rFonts w:hint="default" w:ascii="Times New Roman" w:hAnsi="Times New Roman" w:cs="Times New Roman"/>
          <w:sz w:val="22"/>
          <w:szCs w:val="22"/>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u w:val="single"/>
        </w:rPr>
      </w:pPr>
    </w:p>
    <w:p>
      <w:pPr>
        <w:jc w:val="both"/>
        <w:rPr>
          <w:rFonts w:hint="default" w:ascii="Times New Roman" w:hAnsi="Times New Roman" w:cs="Times New Roman"/>
          <w:sz w:val="22"/>
          <w:szCs w:val="22"/>
        </w:rPr>
      </w:pPr>
      <w:r>
        <w:rPr>
          <w:rFonts w:hint="default" w:ascii="Times New Roman" w:hAnsi="Times New Roman" w:cs="Times New Roman"/>
          <w:sz w:val="22"/>
          <w:szCs w:val="22"/>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rPr>
      </w:pPr>
    </w:p>
    <w:p>
      <w:pPr>
        <w:tabs>
          <w:tab w:val="left" w:pos="709"/>
        </w:tabs>
        <w:ind w:left="2836" w:right="5"/>
        <w:rPr>
          <w:rFonts w:hint="default" w:ascii="Times New Roman" w:hAnsi="Times New Roman" w:cs="Times New Roman"/>
          <w:sz w:val="22"/>
          <w:szCs w:val="22"/>
        </w:rPr>
      </w:pPr>
      <w:r>
        <w:rPr>
          <w:rFonts w:hint="default" w:ascii="Times New Roman" w:hAnsi="Times New Roman" w:cs="Times New Roman"/>
          <w:sz w:val="22"/>
          <w:szCs w:val="22"/>
        </w:rPr>
        <w:t>Fait à Lomé Le …………………</w:t>
      </w:r>
    </w:p>
    <w:p>
      <w:pPr>
        <w:tabs>
          <w:tab w:val="left" w:pos="709"/>
        </w:tabs>
        <w:ind w:left="2836" w:right="5"/>
        <w:rPr>
          <w:rFonts w:hint="default" w:ascii="Times New Roman" w:hAnsi="Times New Roman" w:cs="Times New Roman"/>
          <w:sz w:val="22"/>
          <w:szCs w:val="22"/>
        </w:rPr>
      </w:pPr>
      <w:r>
        <w:rPr>
          <w:rFonts w:hint="default" w:ascii="Times New Roman" w:hAnsi="Times New Roman" w:cs="Times New Roman"/>
          <w:sz w:val="22"/>
          <w:szCs w:val="22"/>
        </w:rPr>
        <w:t>En 3 exemplaires originaux destinés à être enregistrés et inscrits au Registre du Commerce et du Crédit</w:t>
      </w:r>
      <w:r>
        <w:rPr>
          <w:rFonts w:hint="default" w:ascii="Times New Roman" w:hAnsi="Times New Roman" w:cs="Times New Roman"/>
          <w:b/>
          <w:sz w:val="22"/>
          <w:szCs w:val="22"/>
        </w:rPr>
        <w:t xml:space="preserve"> </w:t>
      </w:r>
      <w:r>
        <w:rPr>
          <w:rFonts w:hint="default" w:ascii="Times New Roman" w:hAnsi="Times New Roman" w:cs="Times New Roman"/>
          <w:sz w:val="22"/>
          <w:szCs w:val="22"/>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rPr>
      </w:pPr>
    </w:p>
    <w:p>
      <w:pPr>
        <w:tabs>
          <w:tab w:val="left" w:pos="709"/>
        </w:tabs>
        <w:ind w:right="5"/>
        <w:rPr>
          <w:rFonts w:hint="default" w:ascii="Times New Roman" w:hAnsi="Times New Roman" w:cs="Times New Roman"/>
          <w:sz w:val="22"/>
          <w:szCs w:val="22"/>
        </w:rPr>
      </w:pPr>
    </w:p>
    <w:p>
      <w:pPr>
        <w:jc w:val="center"/>
        <w:rPr>
          <w:rFonts w:hint="default" w:ascii="Times New Roman" w:hAnsi="Times New Roman" w:cs="Times New Roman"/>
          <w:b/>
          <w:sz w:val="24"/>
          <w:szCs w:val="24"/>
        </w:rPr>
      </w:pPr>
    </w:p>
    <w:tbl>
      <w:tblPr>
        <w:tblStyle w:val="8"/>
        <w:tblpPr w:leftFromText="180" w:rightFromText="180" w:vertAnchor="text" w:horzAnchor="page" w:tblpX="7652" w:tblpY="38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2" w:hRule="atLeast"/>
        </w:trPr>
        <w:tc>
          <w:tcPr>
            <w:tcW w:w="3059" w:type="dxa"/>
            <w:tcBorders>
              <w:tl2br w:val="nil"/>
              <w:tr2bl w:val="nil"/>
            </w:tcBorders>
          </w:tcPr>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
                <w:bCs/>
                <w:iCs/>
                <w:color w:val="000000"/>
                <w:sz w:val="24"/>
                <w:szCs w:val="24"/>
                <w:shd w:val="clear" w:fill="auto"/>
              </w:rPr>
              <w:t>Madame Ameh Délali MESSANGAN épouse AMEDEMEGNAH, Responsable juridique</w:t>
            </w:r>
          </w:p>
        </w:tc>
      </w:tr>
    </w:tbl>
    <w:p>
      <w:pPr>
        <w:jc w:val="center"/>
        <w:rPr>
          <w:rFonts w:hint="default" w:ascii="Times New Roman" w:hAnsi="Times New Roman" w:cs="Times New Roman"/>
          <w:b/>
          <w:sz w:val="24"/>
          <w:szCs w:val="24"/>
        </w:rPr>
      </w:pPr>
      <w:r>
        <w:rPr>
          <w:rFonts w:hint="default" w:ascii="Times New Roman" w:hAnsi="Times New Roman" w:cs="Times New Roman"/>
          <w:b/>
          <w:sz w:val="24"/>
          <w:szCs w:val="24"/>
        </w:rPr>
        <w:t>Pour l’Institution</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widowControl w:val="0"/>
              <w:spacing w:before="0" w:after="0"/>
              <w:jc w:val="both"/>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rPr>
          <w:rFonts w:hint="default" w:ascii="Times New Roman" w:hAnsi="Times New Roman" w:cs="Times New Roman"/>
          <w:bCs/>
          <w:iCs/>
          <w:sz w:val="24"/>
        </w:rPr>
      </w:pPr>
    </w:p>
    <w:p>
      <w:pPr>
        <w:rPr>
          <w:rFonts w:hint="default" w:ascii="Times New Roman" w:hAnsi="Times New Roman" w:cs="Times New Roman"/>
          <w:bCs/>
          <w:iCs/>
          <w:sz w:val="24"/>
        </w:rPr>
      </w:pPr>
    </w:p>
    <w:p>
      <w:pPr>
        <w:rPr>
          <w:rFonts w:hint="default" w:ascii="Times New Roman" w:hAnsi="Times New Roman" w:cs="Times New Roman"/>
          <w:b/>
          <w:bCs/>
          <w:iCs/>
          <w:sz w:val="24"/>
        </w:rPr>
      </w:pPr>
    </w:p>
    <w:p>
      <w:pPr>
        <w:rPr>
          <w:rFonts w:hint="default" w:ascii="Times New Roman" w:hAnsi="Times New Roman" w:cs="Times New Roman"/>
          <w:b/>
          <w:bCs/>
          <w:iCs/>
          <w:sz w:val="24"/>
        </w:rPr>
      </w:pPr>
    </w:p>
    <w:p>
      <w:pPr>
        <w:rPr>
          <w:rFonts w:hint="default" w:ascii="Times New Roman" w:hAnsi="Times New Roman" w:cs="Times New Roman"/>
          <w:sz w:val="24"/>
          <w:szCs w:val="24"/>
        </w:rPr>
      </w:pPr>
      <w:r>
        <w:rPr>
          <w:rFonts w:hint="default" w:ascii="Times New Roman" w:hAnsi="Times New Roman" w:cs="Times New Roman"/>
          <w:b/>
          <w:bCs/>
          <w:sz w:val="24"/>
          <w:szCs w:val="24"/>
        </w:rPr>
        <w:t xml:space="preserve">                                                      </w:t>
      </w:r>
    </w:p>
    <w:p>
      <w:pPr>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Pour le Client </w:t>
      </w:r>
      <w:r>
        <w:rPr>
          <w:rFonts w:hint="default" w:ascii="Times New Roman" w:hAnsi="Times New Roman" w:cs="Times New Roman"/>
          <w:b/>
          <w:sz w:val="24"/>
          <w:szCs w:val="24"/>
          <w:highlight w:val="yellow"/>
        </w:rPr>
        <w:t>Sauf-i</w:t>
      </w:r>
    </w:p>
    <w:p>
      <w:pPr>
        <w:jc w:val="center"/>
        <w:rPr>
          <w:rFonts w:hint="default" w:ascii="Times New Roman" w:hAnsi="Times New Roman" w:cs="Times New Roman"/>
          <w:b/>
          <w:sz w:val="24"/>
          <w:szCs w:val="24"/>
        </w:rPr>
      </w:pPr>
    </w:p>
    <w:p>
      <w:pPr>
        <w:spacing w:before="0" w:after="200"/>
        <w:jc w:val="center"/>
        <w:rPr>
          <w:rFonts w:hint="default" w:ascii="Times New Roman" w:hAnsi="Times New Roman" w:cs="Times New Roman"/>
          <w:b/>
          <w:bCs w:val="0"/>
          <w:iCs/>
          <w:sz w:val="24"/>
          <w:szCs w:val="24"/>
          <w:highlight w:val="yellow"/>
          <w:shd w:val="clear" w:fill="auto"/>
        </w:rPr>
      </w:pPr>
    </w:p>
    <w:p>
      <w:pPr>
        <w:spacing w:before="0" w:after="200"/>
        <w:jc w:val="center"/>
        <w:rPr>
          <w:rFonts w:hint="default" w:ascii="Times New Roman" w:hAnsi="Times New Roman" w:cs="Times New Roman"/>
          <w:b/>
          <w:bCs w:val="0"/>
          <w:iCs/>
          <w:sz w:val="24"/>
          <w:szCs w:val="24"/>
          <w:highlight w:val="yellow"/>
          <w:shd w:val="clear" w:fill="auto"/>
        </w:rPr>
      </w:pPr>
    </w:p>
    <w:p>
      <w:pPr>
        <w:spacing w:before="0" w:after="200"/>
        <w:jc w:val="center"/>
        <w:rPr>
          <w:rFonts w:hint="default" w:ascii="Times New Roman" w:hAnsi="Times New Roman" w:cs="Times New Roman"/>
          <w:sz w:val="24"/>
        </w:rPr>
      </w:pPr>
      <w:r>
        <w:rPr>
          <w:rFonts w:hint="default" w:ascii="Times New Roman" w:hAnsi="Times New Roman" w:cs="Times New Roman"/>
          <w:b/>
          <w:bCs w:val="0"/>
          <w:iCs/>
          <w:sz w:val="24"/>
          <w:szCs w:val="24"/>
          <w:highlight w:val="yellow"/>
          <w:shd w:val="clear" w:fill="auto"/>
        </w:rPr>
        <w:t>Mme Treutel Bernie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separate"/>
    </w:r>
    <w:r>
      <w:rPr>
        <w:rStyle w:val="7"/>
      </w:rPr>
      <w:t>5</w:t>
    </w:r>
    <w:r>
      <w:rPr>
        <w:rStyle w:val="7"/>
      </w:rPr>
      <w:fldChar w:fldCharType="end"/>
    </w:r>
  </w:p>
  <w:p>
    <w:pPr>
      <w:pStyle w:val="5"/>
      <w:rPr>
        <w:b/>
        <w:bCs/>
        <w:sz w:val="16"/>
        <w:szCs w:val="16"/>
        <w:highlight w:val="yellow"/>
      </w:rPr>
    </w:pPr>
    <w:r>
      <w:rPr>
        <w:rFonts w:ascii="Calibri" w:hAnsi="Calibri" w:cs="Calibri"/>
        <w:sz w:val="16"/>
      </w:rPr>
      <w:t xml:space="preserve">CONTRAT DE PRET  ET GAGE- </w:t>
    </w:r>
    <w:r>
      <w:rPr>
        <w:rFonts w:hint="default"/>
        <w:b/>
        <w:bCs/>
        <w:iCs/>
        <w:sz w:val="16"/>
        <w:szCs w:val="16"/>
        <w:highlight w:val="yellow"/>
      </w:rPr>
      <w:t>Sauf-i</w: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5F06648"/>
    <w:multiLevelType w:val="multilevel"/>
    <w:tmpl w:val="05F066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1"/>
  </w:num>
  <w:num w:numId="2">
    <w:abstractNumId w:val="0"/>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8"/>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35EEB0E4"/>
    <w:rsid w:val="37D613CE"/>
    <w:rsid w:val="37FEBD8C"/>
    <w:rsid w:val="3ED6DE3D"/>
    <w:rsid w:val="3F71A17E"/>
    <w:rsid w:val="577F5B0B"/>
    <w:rsid w:val="5BB95682"/>
    <w:rsid w:val="5E5F877C"/>
    <w:rsid w:val="6FFA7788"/>
    <w:rsid w:val="71A684D3"/>
    <w:rsid w:val="7BFE1D29"/>
    <w:rsid w:val="7DBD25E1"/>
    <w:rsid w:val="7FE7FD22"/>
    <w:rsid w:val="7FFECBF0"/>
    <w:rsid w:val="877BD08D"/>
    <w:rsid w:val="8F8FE0FE"/>
    <w:rsid w:val="8FFB8796"/>
    <w:rsid w:val="A93FACCB"/>
    <w:rsid w:val="BFFDF065"/>
    <w:rsid w:val="E21DE2B9"/>
    <w:rsid w:val="EBDF2626"/>
    <w:rsid w:val="F57F360C"/>
    <w:rsid w:val="FB5391E6"/>
    <w:rsid w:val="FCD5E2E2"/>
    <w:rsid w:val="FE7E157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2024-02-19T09:54:41Z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