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hd w:val="clear"/>
        <w:spacing w:line="240" w:lineRule="auto"/>
        <w:jc w:val="center"/>
        <w:rPr>
          <w:rFonts w:hint="default" w:ascii="Times New Roman" w:hAnsi="Times New Roman" w:cs="Times New Roman"/>
          <w:b/>
          <w:sz w:val="28"/>
          <w:szCs w:val="28"/>
          <w:highlight w:val="none"/>
          <w:bdr w:val="double" w:color="000000" w:sz="24" w:space="0"/>
        </w:rPr>
      </w:pP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Montant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${verbal_trial.amount} F CFA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Durée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${verbal_trial.duration} mois</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Périodicité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${verbal_trial.periodicity.fr}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Taux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${ht_rate} %</w:t>
      </w:r>
    </w:p>
    <w:p>
      <w:pPr>
        <w:shd w:val="clear"/>
        <w:tabs>
          <w:tab w:val="left" w:pos="708"/>
          <w:tab w:val="left" w:pos="1416"/>
          <w:tab w:val="left" w:pos="2124"/>
          <w:tab w:val="left" w:pos="2748"/>
          <w:tab w:val="left" w:pos="3708"/>
          <w:tab w:val="center" w:pos="4896"/>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TAF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${verbal_trial.taf}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lang w:val="en-US"/>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Frais de dossier              : ${verbal_trial.administrative_fees_percentage} </w:t>
      </w:r>
      <w:r>
        <w:rPr>
          <w:rFonts w:hint="default" w:ascii="Times New Roman" w:hAnsi="Times New Roman" w:cs="Times New Roman"/>
          <w:b/>
          <w:sz w:val="22"/>
          <w:szCs w:val="22"/>
          <w:highlight w:val="none"/>
          <w:shd w:val="clear" w:fill="auto"/>
          <w:lang w:val="en-US"/>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 Prime d’assurance : ${verbal_trial.insurance_premium}  </w:t>
      </w:r>
      <w:r>
        <w:rPr>
          <w:rFonts w:hint="default" w:ascii="Times New Roman" w:hAnsi="Times New Roman" w:cs="Times New Roman"/>
          <w:b/>
          <w:sz w:val="22"/>
          <w:szCs w:val="22"/>
          <w:highlight w:val="none"/>
          <w:shd w:val="clear" w:fill="auto"/>
        </w:rPr>
        <w:t>F CFA</w:t>
      </w:r>
    </w:p>
    <w:p>
      <w:pPr>
        <w:pStyle w:val="20"/>
        <w:numPr>
          <w:ilvl w:val="0"/>
          <w:numId w:val="0"/>
        </w:numPr>
        <w:shd w:val="clea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Prime de risque (%)« Montant de la prime de risque »  </w:t>
      </w:r>
      <w:r>
        <w:rPr>
          <w:rFonts w:hint="default" w:ascii="Times New Roman" w:hAnsi="Times New Roman" w:cs="Times New Roman"/>
          <w:b/>
          <w:sz w:val="22"/>
          <w:szCs w:val="22"/>
          <w:highlight w:val="none"/>
          <w:shd w:val="clear" w:fill="auto"/>
        </w:rPr>
        <w:t>F CFA</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lang w:val="en-US"/>
        </w:rPr>
        <w:t>${line_review_bonus}</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sz w:val="22"/>
          <w:szCs w:val="22"/>
          <w:highlight w:val="none"/>
          <w:shd w:val="clear" w:fill="auto"/>
        </w:rPr>
      </w:pPr>
      <w:r>
        <w:rPr>
          <w:rFonts w:hint="default" w:ascii="Times New Roman" w:hAnsi="Times New Roman" w:cs="Times New Roman"/>
          <w:b/>
          <w:color w:val="111111"/>
          <w:sz w:val="22"/>
          <w:szCs w:val="22"/>
          <w:highlight w:val="none"/>
          <w:shd w:val="clear" w:fill="auto"/>
        </w:rPr>
        <w:t>Date de la première échéance :</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2"/>
          <w:szCs w:val="22"/>
          <w:highlight w:val="none"/>
        </w:rPr>
      </w:pPr>
      <w:r>
        <w:rPr>
          <w:rFonts w:hint="default" w:ascii="Times New Roman" w:hAnsi="Times New Roman" w:cs="Times New Roman"/>
          <w:b/>
          <w:color w:val="111111"/>
          <w:sz w:val="22"/>
          <w:szCs w:val="22"/>
          <w:highlight w:val="none"/>
          <w:shd w:val="clear" w:fill="auto"/>
        </w:rPr>
        <w:t>Date de dernière échéance :</w:t>
      </w:r>
      <w:r>
        <w:rPr>
          <w:rFonts w:hint="default" w:ascii="Times New Roman" w:hAnsi="Times New Roman" w:cs="Times New Roman"/>
          <w:b/>
          <w:color w:val="FF0000"/>
          <w:sz w:val="22"/>
          <w:szCs w:val="22"/>
          <w:highlight w:val="none"/>
        </w:rPr>
        <w:tab/>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${verbal_trial.due_amount} (${verbal_trial.due_amount.fr})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4"/>
          <w:szCs w:val="24"/>
          <w:highlight w:val="none"/>
          <w:lang w:val="en-US"/>
        </w:rPr>
        <w:t xml:space="preserve"> F CFA</w:t>
      </w:r>
      <w:bookmarkStart w:id="10" w:name="_GoBack"/>
      <w:bookmarkEnd w:id="10"/>
      <w:r>
        <w:rPr>
          <w:rFonts w:hint="default" w:ascii="Times New Roman" w:hAnsi="Times New Roman" w:cs="Times New Roman"/>
          <w:sz w:val="24"/>
          <w:szCs w:val="24"/>
          <w:highlight w:val="none"/>
        </w:rPr>
        <w: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 la sûreté et garantie du remboursement du présent prêt, soit la somme soit </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 de ${value}</w:t>
      </w:r>
      <w:r>
        <w:rPr>
          <w:rFonts w:hint="default" w:ascii="Times New Roman" w:hAnsi="Times New Roman" w:cs="Times New Roman"/>
          <w:sz w:val="22"/>
          <w:szCs w:val="22"/>
          <w:highlight w:val="none"/>
          <w:lang w:val="en-US"/>
        </w:rPr>
        <w:t xml:space="preserve"> FCFA: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jc w:val="center"/>
        <w:rPr>
          <w:rFonts w:hint="default" w:ascii="Times New Roman" w:hAnsi="Times New Roman" w:cs="Times New Roman"/>
          <w:b/>
          <w:sz w:val="22"/>
          <w:szCs w:val="22"/>
          <w:highlight w:val="none"/>
        </w:rPr>
      </w:pPr>
    </w:p>
    <w:p>
      <w:pPr>
        <w:shd w:val="clear"/>
        <w:jc w:val="center"/>
        <w:rPr>
          <w:rFonts w:hint="default" w:ascii="Times New Roman" w:hAnsi="Times New Roman" w:cs="Times New Roman"/>
          <w:b/>
          <w:bCs w:val="0"/>
          <w:sz w:val="22"/>
          <w:szCs w:val="22"/>
          <w:highlight w:val="none"/>
        </w:rPr>
      </w:pPr>
    </w:p>
    <w:p>
      <w:pPr>
        <w:shd w:val="clear"/>
        <w:spacing w:before="0" w:after="200"/>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p>
    <w:pPr>
      <w:pStyle w:val="8"/>
      <w:spacing w:before="0" w:after="200"/>
      <w:jc w:val="left"/>
      <w:rPr>
        <w:rFonts w:hint="default"/>
      </w:rPr>
    </w:pPr>
  </w:p>
  <w:p>
    <w:pPr>
      <w:pStyle w:val="8"/>
      <w:spacing w:before="0" w:after="200"/>
      <w:jc w:val="left"/>
      <w:rPr>
        <w:rFonts w:hint="default"/>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275380D8"/>
    <w:rsid w:val="30DD53FD"/>
    <w:rsid w:val="3ADD65B9"/>
    <w:rsid w:val="3E6F7610"/>
    <w:rsid w:val="3FEE4DEC"/>
    <w:rsid w:val="47FD08C0"/>
    <w:rsid w:val="4F3F4729"/>
    <w:rsid w:val="53DF964A"/>
    <w:rsid w:val="55EFB2CF"/>
    <w:rsid w:val="57FF3174"/>
    <w:rsid w:val="5C87D7F5"/>
    <w:rsid w:val="5F4B5793"/>
    <w:rsid w:val="613C5CEA"/>
    <w:rsid w:val="63F7535E"/>
    <w:rsid w:val="6BFA45E6"/>
    <w:rsid w:val="6E7C2AEA"/>
    <w:rsid w:val="6ED6DCBE"/>
    <w:rsid w:val="77CBB64D"/>
    <w:rsid w:val="7ADD242E"/>
    <w:rsid w:val="7B7FAD11"/>
    <w:rsid w:val="7BFFE25A"/>
    <w:rsid w:val="7E5F7983"/>
    <w:rsid w:val="7EFFB152"/>
    <w:rsid w:val="7F3F8EB3"/>
    <w:rsid w:val="7F7F3A55"/>
    <w:rsid w:val="7F9F29B1"/>
    <w:rsid w:val="7FFB976A"/>
    <w:rsid w:val="9BFE10F3"/>
    <w:rsid w:val="9EFB1DBC"/>
    <w:rsid w:val="AE7BF738"/>
    <w:rsid w:val="AEF3FEE5"/>
    <w:rsid w:val="AFAB385F"/>
    <w:rsid w:val="BB6E49FC"/>
    <w:rsid w:val="BFAF390D"/>
    <w:rsid w:val="BFDDD6C2"/>
    <w:rsid w:val="CF9FC517"/>
    <w:rsid w:val="CFED15A6"/>
    <w:rsid w:val="E7EAC5F3"/>
    <w:rsid w:val="EBBF6C5A"/>
    <w:rsid w:val="EC3F17AA"/>
    <w:rsid w:val="EDBB45C8"/>
    <w:rsid w:val="EFE37952"/>
    <w:rsid w:val="F3EFDE8F"/>
    <w:rsid w:val="F3FF2B7E"/>
    <w:rsid w:val="F7CF7613"/>
    <w:rsid w:val="F7F737E9"/>
    <w:rsid w:val="FA55D77A"/>
    <w:rsid w:val="FBB3A364"/>
    <w:rsid w:val="FDBA9694"/>
    <w:rsid w:val="FDBFB375"/>
    <w:rsid w:val="FE4BC2C7"/>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2024-06-24T18:26:01Z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