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line="276" w:lineRule="auto"/>
        <w:rPr>
          <w:rFonts w:hint="default" w:ascii="Times New Roman" w:hAnsi="Times New Roman" w:eastAsia="Calibri" w:cs="Times New Roman"/>
          <w:b/>
          <w:sz w:val="44"/>
          <w:szCs w:val="44"/>
          <w:bdr w:val="dashDotStroked" w:color="auto" w:sz="24" w:space="0"/>
          <w:lang w:val="en-US" w:eastAsia="en-US"/>
        </w:rPr>
      </w:pPr>
      <w:r>
        <w:rPr>
          <w:rFonts w:hint="default" w:eastAsia="Calibri" w:cs="Times New Roman"/>
          <w:b/>
          <w:sz w:val="44"/>
          <w:szCs w:val="44"/>
          <w:bdr w:val="dashDotStroked" w:color="auto" w:sz="24" w:space="0"/>
          <w:lang w:val="en-US" w:eastAsia="en-US"/>
        </w:rPr>
        <w:t xml:space="preserve"> </w:t>
      </w:r>
    </w:p>
    <w:p>
      <w:pPr>
        <w:spacing w:after="200" w:line="276" w:lineRule="auto"/>
        <w:jc w:val="center"/>
        <w:rPr>
          <w:rFonts w:hint="default" w:ascii="Times New Roman" w:hAnsi="Times New Roman" w:eastAsia="Calibri" w:cs="Times New Roman"/>
          <w:b/>
          <w:sz w:val="44"/>
          <w:szCs w:val="44"/>
          <w:bdr w:val="dashDotStroked" w:color="auto" w:sz="24" w:space="0"/>
          <w:lang w:eastAsia="en-US"/>
        </w:rPr>
      </w:pPr>
      <w:r>
        <w:rPr>
          <w:rFonts w:hint="default" w:ascii="Times New Roman" w:hAnsi="Times New Roman" w:eastAsia="Calibri" w:cs="Times New Roman"/>
          <w:b/>
          <w:sz w:val="44"/>
          <w:szCs w:val="44"/>
          <w:bdr w:val="dashDotStroked" w:color="auto" w:sz="24" w:space="0"/>
          <w:lang w:eastAsia="en-US"/>
        </w:rPr>
        <w:t xml:space="preserve">CONTRAT DE PRÊT ET GAGE    </w:t>
      </w:r>
    </w:p>
    <w:p>
      <w:pPr>
        <w:jc w:val="both"/>
        <w:rPr>
          <w:rFonts w:hint="default" w:ascii="Times New Roman" w:hAnsi="Times New Roman" w:cs="Times New Roman"/>
          <w:sz w:val="22"/>
          <w:szCs w:val="22"/>
          <w:u w:val="single"/>
        </w:rPr>
      </w:pPr>
    </w:p>
    <w:p>
      <w:pPr>
        <w:spacing w:after="200"/>
        <w:jc w:val="both"/>
        <w:rPr>
          <w:rFonts w:hint="default" w:ascii="Times New Roman" w:hAnsi="Times New Roman" w:eastAsia="Calibri" w:cs="Times New Roman"/>
          <w:b/>
          <w:bCs/>
          <w:sz w:val="26"/>
          <w:szCs w:val="26"/>
          <w:u w:val="single"/>
          <w:lang w:eastAsia="en-US"/>
        </w:rPr>
      </w:pPr>
      <w:r>
        <w:rPr>
          <w:rFonts w:hint="default" w:ascii="Times New Roman" w:hAnsi="Times New Roman" w:eastAsia="Calibri" w:cs="Times New Roman"/>
          <w:b/>
          <w:bCs/>
          <w:sz w:val="26"/>
          <w:szCs w:val="26"/>
          <w:u w:val="single"/>
          <w:lang w:eastAsia="en-US"/>
        </w:rPr>
        <w:t xml:space="preserve">ENTRE-LES SOUSSIGNES : </w:t>
      </w:r>
    </w:p>
    <w:p>
      <w:pPr>
        <w:spacing w:after="200" w:line="276" w:lineRule="auto"/>
        <w:jc w:val="both"/>
        <w:rPr>
          <w:rFonts w:hint="default" w:ascii="Times New Roman" w:hAnsi="Times New Roman" w:cs="Times New Roman"/>
          <w:sz w:val="24"/>
          <w:szCs w:val="24"/>
        </w:rPr>
      </w:pPr>
      <w:r>
        <w:rPr>
          <w:rFonts w:hint="default" w:ascii="Times New Roman" w:hAnsi="Times New Roman" w:cs="Times New Roman"/>
          <w:b/>
          <w:sz w:val="24"/>
          <w:szCs w:val="24"/>
        </w:rPr>
        <w:t>COMPAGNIE FINANCIERE AFRICAINE (COFINA TOGO) SA</w:t>
      </w:r>
      <w:r>
        <w:rPr>
          <w:rFonts w:hint="default" w:ascii="Times New Roman" w:hAnsi="Times New Roman" w:cs="Times New Roman"/>
          <w:sz w:val="24"/>
          <w:szCs w:val="24"/>
        </w:rPr>
        <w:t>, Société Anonyme avec Conseil d’Administration au capital de  500.000.000 FCFA, immatriculée au Registre du Commerce et du Crédit Mobilier du TOGO, sous le numéro initial TOGO-LOME TG-LOM 2018 B2536, Agrément Numéro 36 et inscrite sur la liste de l’APSFD sous le numéro T/1/GFLM/2019/257A, dont le siège social est situé à LOME (TOGO</w:t>
      </w:r>
      <w:bookmarkStart w:id="0" w:name="_Hlk66259236"/>
      <w:r>
        <w:rPr>
          <w:rFonts w:hint="default" w:ascii="Times New Roman" w:hAnsi="Times New Roman" w:cs="Times New Roman"/>
          <w:sz w:val="24"/>
          <w:szCs w:val="24"/>
        </w:rPr>
        <w:t>), Boulevard du 13 Janvier, Quartier Kodjoviakopé, 07 BP : 7499 Lomé-TOGO</w:t>
      </w:r>
      <w:bookmarkEnd w:id="0"/>
      <w:r>
        <w:rPr>
          <w:rFonts w:hint="default" w:ascii="Times New Roman" w:hAnsi="Times New Roman" w:cs="Times New Roman"/>
          <w:sz w:val="24"/>
          <w:szCs w:val="24"/>
        </w:rPr>
        <w:t>, Téléphone : 00 228 22 23 68 68 / 00 228 22 23 68 60 ;</w:t>
      </w:r>
    </w:p>
    <w:p>
      <w:pPr>
        <w:spacing w:after="200" w:line="276" w:lineRule="auto"/>
        <w:jc w:val="both"/>
        <w:rPr>
          <w:rFonts w:hint="default" w:ascii="Times New Roman" w:hAnsi="Times New Roman" w:eastAsia="Calibri" w:cs="Times New Roman"/>
          <w:sz w:val="24"/>
          <w:szCs w:val="24"/>
          <w:lang w:eastAsia="en-US"/>
        </w:rPr>
      </w:pPr>
      <w:r>
        <w:rPr>
          <w:rFonts w:hint="default" w:ascii="Times New Roman" w:hAnsi="Times New Roman" w:cs="Times New Roman"/>
          <w:bCs/>
          <w:iCs/>
          <w:sz w:val="24"/>
          <w:szCs w:val="24"/>
        </w:rPr>
        <w:t xml:space="preserve">Représentée par </w:t>
      </w:r>
      <w:r>
        <w:rPr>
          <w:rFonts w:hint="default" w:ascii="Times New Roman" w:hAnsi="Times New Roman" w:cs="Times New Roman"/>
          <w:b/>
          <w:bCs/>
          <w:iCs/>
          <w:sz w:val="24"/>
          <w:szCs w:val="24"/>
        </w:rPr>
        <w:t>Monsieur</w:t>
      </w:r>
      <w:r>
        <w:rPr>
          <w:rFonts w:hint="default" w:ascii="Times New Roman" w:hAnsi="Times New Roman" w:cs="Times New Roman"/>
          <w:bCs/>
          <w:iCs/>
          <w:sz w:val="24"/>
          <w:szCs w:val="24"/>
        </w:rPr>
        <w:t xml:space="preserve"> </w:t>
      </w:r>
      <w:r>
        <w:rPr>
          <w:rFonts w:hint="default" w:ascii="Times New Roman" w:hAnsi="Times New Roman" w:cs="Times New Roman"/>
          <w:b/>
          <w:bCs/>
          <w:iCs/>
          <w:sz w:val="24"/>
          <w:szCs w:val="24"/>
        </w:rPr>
        <w:t>Mélaine Marcel Séraphin DIGBE</w:t>
      </w:r>
      <w:r>
        <w:rPr>
          <w:rFonts w:hint="default" w:ascii="Times New Roman" w:hAnsi="Times New Roman" w:cs="Times New Roman"/>
          <w:bCs/>
          <w:iCs/>
          <w:sz w:val="24"/>
          <w:szCs w:val="24"/>
        </w:rPr>
        <w:t xml:space="preserve">, en sa qualité de Directeur Général, dûment habilité, et par délégation de pouvoir à </w:t>
      </w:r>
      <w:r>
        <w:rPr>
          <w:rFonts w:hint="default" w:ascii="Times New Roman" w:hAnsi="Times New Roman" w:cs="Times New Roman"/>
          <w:b/>
          <w:bCs/>
          <w:iCs/>
          <w:sz w:val="24"/>
          <w:szCs w:val="24"/>
        </w:rPr>
        <w:t>Monsieur Koffi Djramedo GAMADO</w:t>
      </w:r>
      <w:r>
        <w:rPr>
          <w:rFonts w:hint="default" w:ascii="Times New Roman" w:hAnsi="Times New Roman" w:cs="Times New Roman"/>
          <w:bCs/>
          <w:iCs/>
          <w:sz w:val="24"/>
          <w:szCs w:val="24"/>
        </w:rPr>
        <w:t xml:space="preserve">, Head Crédit, et </w:t>
      </w:r>
      <w:r>
        <w:rPr>
          <w:rFonts w:hint="default" w:ascii="Times New Roman" w:hAnsi="Times New Roman" w:cs="Times New Roman"/>
          <w:b/>
          <w:bCs/>
          <w:iCs/>
          <w:sz w:val="24"/>
          <w:szCs w:val="24"/>
        </w:rPr>
        <w:t xml:space="preserve">Madame Christèle F. R. FEBON </w:t>
      </w:r>
      <w:r>
        <w:rPr>
          <w:rFonts w:hint="default" w:ascii="Times New Roman" w:hAnsi="Times New Roman" w:cs="Times New Roman"/>
          <w:bCs/>
          <w:iCs/>
          <w:sz w:val="24"/>
          <w:szCs w:val="24"/>
        </w:rPr>
        <w:t>épouse</w:t>
      </w:r>
      <w:r>
        <w:rPr>
          <w:rFonts w:hint="default" w:ascii="Times New Roman" w:hAnsi="Times New Roman" w:cs="Times New Roman"/>
          <w:b/>
          <w:bCs/>
          <w:iCs/>
          <w:sz w:val="24"/>
          <w:szCs w:val="24"/>
        </w:rPr>
        <w:t xml:space="preserve"> JOHNSON, </w:t>
      </w:r>
      <w:r>
        <w:rPr>
          <w:rFonts w:hint="default" w:ascii="Times New Roman" w:hAnsi="Times New Roman" w:cs="Times New Roman"/>
          <w:bCs/>
          <w:iCs/>
          <w:sz w:val="24"/>
          <w:szCs w:val="24"/>
        </w:rPr>
        <w:t>Directrice d’exploitation,</w:t>
      </w:r>
      <w:r>
        <w:rPr>
          <w:rFonts w:hint="default" w:ascii="Times New Roman" w:hAnsi="Times New Roman" w:cs="Times New Roman"/>
          <w:b/>
          <w:bCs/>
          <w:iCs/>
          <w:sz w:val="24"/>
          <w:szCs w:val="24"/>
        </w:rPr>
        <w:t> </w:t>
      </w:r>
      <w:r>
        <w:rPr>
          <w:rFonts w:hint="default" w:ascii="Times New Roman" w:hAnsi="Times New Roman" w:cs="Times New Roman"/>
          <w:bCs/>
          <w:iCs/>
          <w:sz w:val="24"/>
          <w:szCs w:val="24"/>
        </w:rPr>
        <w:t>vertu d’un acte reçu par Me Afiavi S. do REGO-d’Almeida, Notaire à Lomé, en date du 19 Août 2022</w:t>
      </w:r>
      <w:r>
        <w:rPr>
          <w:rFonts w:hint="default" w:ascii="Times New Roman" w:hAnsi="Times New Roman" w:eastAsia="Calibri" w:cs="Times New Roman"/>
          <w:sz w:val="24"/>
          <w:szCs w:val="24"/>
          <w:lang w:eastAsia="en-US"/>
        </w:rPr>
        <w:t>,</w:t>
      </w:r>
    </w:p>
    <w:p>
      <w:pPr>
        <w:spacing w:after="200" w:line="276" w:lineRule="auto"/>
        <w:ind w:right="-141"/>
        <w:jc w:val="right"/>
        <w:rPr>
          <w:rFonts w:hint="default" w:ascii="Times New Roman" w:hAnsi="Times New Roman" w:eastAsia="Calibri" w:cs="Times New Roman"/>
          <w:i/>
          <w:iCs/>
          <w:sz w:val="24"/>
          <w:szCs w:val="24"/>
          <w:lang w:eastAsia="en-US"/>
        </w:rPr>
      </w:pPr>
      <w:r>
        <w:rPr>
          <w:rFonts w:hint="default" w:ascii="Times New Roman" w:hAnsi="Times New Roman" w:eastAsia="Calibri" w:cs="Times New Roman"/>
          <w:sz w:val="24"/>
          <w:szCs w:val="24"/>
          <w:lang w:eastAsia="en-US"/>
        </w:rPr>
        <w:t xml:space="preserve">Ci-après dénommée « </w:t>
      </w:r>
      <w:r>
        <w:rPr>
          <w:rFonts w:hint="default" w:ascii="Times New Roman" w:hAnsi="Times New Roman" w:eastAsia="Calibri" w:cs="Times New Roman"/>
          <w:b/>
          <w:bCs/>
          <w:sz w:val="24"/>
          <w:szCs w:val="24"/>
          <w:lang w:eastAsia="en-US"/>
        </w:rPr>
        <w:t xml:space="preserve">COFINA TOGO SA », </w:t>
      </w:r>
      <w:r>
        <w:rPr>
          <w:rFonts w:hint="default" w:ascii="Times New Roman" w:hAnsi="Times New Roman" w:eastAsia="Calibri" w:cs="Times New Roman"/>
          <w:b/>
          <w:bCs/>
          <w:i/>
          <w:iCs/>
          <w:sz w:val="24"/>
          <w:szCs w:val="24"/>
          <w:lang w:eastAsia="en-US"/>
        </w:rPr>
        <w:t>d’une part</w:t>
      </w:r>
      <w:r>
        <w:rPr>
          <w:rFonts w:hint="default" w:ascii="Times New Roman" w:hAnsi="Times New Roman" w:eastAsia="Calibri" w:cs="Times New Roman"/>
          <w:i/>
          <w:iCs/>
          <w:sz w:val="24"/>
          <w:szCs w:val="24"/>
          <w:lang w:eastAsia="en-US"/>
        </w:rPr>
        <w:t>,</w:t>
      </w:r>
    </w:p>
    <w:p>
      <w:pPr>
        <w:spacing w:after="200"/>
        <w:jc w:val="both"/>
        <w:rPr>
          <w:rFonts w:hint="default" w:ascii="Times New Roman" w:hAnsi="Times New Roman" w:eastAsia="Calibri" w:cs="Times New Roman"/>
          <w:sz w:val="24"/>
          <w:szCs w:val="24"/>
          <w:lang w:eastAsia="en-US"/>
        </w:rPr>
      </w:pPr>
      <w:r>
        <w:rPr>
          <w:rFonts w:hint="default" w:ascii="Times New Roman" w:hAnsi="Times New Roman" w:eastAsia="Calibri" w:cs="Times New Roman"/>
          <w:sz w:val="24"/>
          <w:szCs w:val="24"/>
          <w:lang w:eastAsia="en-US"/>
        </w:rPr>
        <w:t>ET</w:t>
      </w:r>
    </w:p>
    <w:p>
      <w:pPr>
        <w:ind w:right="-468"/>
        <w:jc w:val="both"/>
        <w:rPr>
          <w:rFonts w:hint="default" w:ascii="Times New Roman" w:hAnsi="Times New Roman" w:cs="Times New Roman"/>
          <w:b/>
          <w:bCs/>
          <w:highlight w:val="none"/>
          <w:shd w:val="clear" w:fill="auto"/>
          <w:lang w:val="en-US"/>
        </w:rPr>
      </w:pPr>
      <w:r>
        <w:rPr>
          <w:rFonts w:hint="default" w:ascii="Times New Roman" w:hAnsi="Times New Roman" w:cs="Times New Roman"/>
          <w:b w:val="0"/>
          <w:bCs w:val="0"/>
          <w:highlight w:val="yellow"/>
        </w:rPr>
        <w:t xml:space="preserve">ganam style </w:t>
      </w:r>
      <w:r>
        <w:rPr>
          <w:rFonts w:hint="default" w:ascii="Times New Roman" w:hAnsi="Times New Roman" w:cs="Times New Roman"/>
          <w:b w:val="0"/>
          <w:bCs w:val="0"/>
          <w:highlight w:val="yellow"/>
          <w:lang w:val="en-US"/>
        </w:rPr>
        <w:t>pme</w:t>
      </w:r>
      <w:r>
        <w:rPr>
          <w:rFonts w:hint="default" w:ascii="Times New Roman" w:hAnsi="Times New Roman" w:cs="Times New Roman"/>
          <w:b w:val="0"/>
          <w:bCs w:val="0"/>
          <w:highlight w:val="yellow"/>
        </w:rPr>
        <w:t xml:space="preserve"> dont le siège social est à </w:t>
      </w:r>
      <w:r>
        <w:rPr>
          <w:rFonts w:hint="default" w:ascii="Times New Roman" w:hAnsi="Times New Roman" w:cs="Times New Roman"/>
          <w:b w:val="0"/>
          <w:bCs w:val="0"/>
          <w:highlight w:val="yellow"/>
          <w:lang w:val="en-US"/>
        </w:rPr>
        <w:t>Lomé</w:t>
      </w:r>
      <w:r>
        <w:rPr>
          <w:rFonts w:hint="default" w:ascii="Times New Roman" w:hAnsi="Times New Roman" w:cs="Times New Roman"/>
          <w:b w:val="0"/>
          <w:bCs w:val="0"/>
          <w:highlight w:val="yellow"/>
        </w:rPr>
        <w:t xml:space="preserve">, immatriculée sous le registre du Commerce et du Crédit Mobilier de Lomé, sous le numéro </w:t>
      </w:r>
      <w:r>
        <w:rPr>
          <w:rFonts w:hint="default" w:ascii="Times New Roman" w:hAnsi="Times New Roman" w:cs="Times New Roman"/>
          <w:b w:val="0"/>
          <w:bCs w:val="0"/>
          <w:highlight w:val="yellow"/>
          <w:lang w:val="en-US"/>
        </w:rPr>
        <w:t>R2D2</w:t>
      </w:r>
      <w:r>
        <w:rPr>
          <w:rFonts w:hint="default" w:ascii="Times New Roman" w:hAnsi="Times New Roman" w:cs="Times New Roman"/>
          <w:b w:val="0"/>
          <w:bCs w:val="0"/>
          <w:highlight w:val="yellow"/>
        </w:rPr>
        <w:t xml:space="preserve"> représenté par son responsable </w:t>
      </w:r>
      <w:r>
        <w:rPr>
          <w:rFonts w:hint="default" w:ascii="Times New Roman" w:hAnsi="Times New Roman" w:cs="Times New Roman"/>
          <w:b w:val="0"/>
          <w:bCs w:val="0"/>
          <w:highlight w:val="yellow"/>
          <w:shd w:val="clear" w:fill="auto"/>
        </w:rPr>
        <w:t>Mlle</w:t>
      </w:r>
      <w:r>
        <w:rPr>
          <w:rFonts w:hint="default" w:ascii="Times New Roman" w:hAnsi="Times New Roman" w:cs="Times New Roman"/>
          <w:b w:val="0"/>
          <w:bCs w:val="0"/>
          <w:highlight w:val="yellow"/>
          <w:shd w:val="clear" w:fill="auto"/>
          <w:lang w:val="en-US"/>
        </w:rPr>
        <w:t xml:space="preserve"> </w:t>
      </w:r>
      <w:r>
        <w:rPr>
          <w:rFonts w:hint="default" w:ascii="Times New Roman" w:hAnsi="Times New Roman" w:cs="Times New Roman"/>
          <w:b w:val="0"/>
          <w:bCs w:val="0"/>
          <w:highlight w:val="yellow"/>
          <w:shd w:val="clear" w:fill="auto"/>
        </w:rPr>
        <w:t>Pfannerstill Deon née le 2004-06-21 00:00:00, de nationalité Libyan Arab Jamahiriya domicilié à 98352 Osbaldo Springs
Littelfurt, PA 84449-4890 et titulaire d’un(e) residence_certificate 015-935-238 délivrée le 1982-06-09 00:00:00,</w:t>
      </w:r>
      <w:r>
        <w:rPr>
          <w:rFonts w:hint="default" w:ascii="Times New Roman" w:hAnsi="Times New Roman" w:cs="Times New Roman"/>
          <w:b/>
          <w:bCs/>
          <w:highlight w:val="yellow"/>
          <w:shd w:val="clear" w:fill="auto"/>
        </w:rPr>
        <w:t xml:space="preserve"> </w:t>
      </w:r>
      <w:r>
        <w:rPr>
          <w:rFonts w:hint="default" w:ascii="Times New Roman" w:hAnsi="Times New Roman" w:cs="Times New Roman"/>
          <w:b w:val="0"/>
          <w:bCs w:val="0"/>
          <w:highlight w:val="yellow"/>
          <w:shd w:val="clear" w:fill="auto"/>
        </w:rPr>
        <w:t>Tél : 618.808.5056</w:t>
      </w:r>
      <w:r>
        <w:rPr>
          <w:rFonts w:hint="default" w:ascii="Times New Roman" w:hAnsi="Times New Roman" w:cs="Times New Roman"/>
          <w:b w:val="0"/>
          <w:bCs w:val="0"/>
          <w:highlight w:val="yellow"/>
        </w:rPr>
        <w:t>, ayant pleins pouvoirs à l’effet des présentes,</w:t>
      </w:r>
      <w:r>
        <w:rPr>
          <w:rFonts w:hint="default" w:ascii="Times New Roman" w:hAnsi="Times New Roman" w:cs="Times New Roman"/>
          <w:b/>
          <w:bCs/>
          <w:highlight w:val="yellow"/>
        </w:rPr>
        <w:t xml:space="preserve"> Tél : </w:t>
      </w:r>
      <w:r>
        <w:rPr>
          <w:rFonts w:hint="default" w:ascii="Times New Roman" w:hAnsi="Times New Roman" w:cs="Times New Roman"/>
          <w:b/>
          <w:bCs/>
          <w:highlight w:val="yellow"/>
          <w:lang w:val="en-US"/>
        </w:rPr>
        <w:t>+228 90 90 90 90</w:t>
      </w:r>
    </w:p>
    <w:p>
      <w:pPr>
        <w:ind w:right="-468"/>
        <w:jc w:val="both"/>
        <w:rPr>
          <w:rFonts w:hint="default" w:ascii="Times New Roman" w:hAnsi="Times New Roman" w:cs="Times New Roman"/>
          <w:b/>
          <w:bCs/>
          <w:sz w:val="24"/>
          <w:szCs w:val="24"/>
        </w:rPr>
      </w:pPr>
    </w:p>
    <w:p>
      <w:pPr>
        <w:ind w:left="360" w:right="-468"/>
        <w:jc w:val="both"/>
        <w:rPr>
          <w:rFonts w:hint="default" w:ascii="Times New Roman" w:hAnsi="Times New Roman" w:cs="Times New Roman"/>
          <w:b/>
          <w:bCs/>
          <w:sz w:val="24"/>
          <w:szCs w:val="24"/>
        </w:rPr>
      </w:pPr>
    </w:p>
    <w:p>
      <w:pPr>
        <w:ind w:left="360" w:right="-468"/>
        <w:jc w:val="both"/>
        <w:rPr>
          <w:rFonts w:hint="default" w:ascii="Times New Roman" w:hAnsi="Times New Roman" w:cs="Times New Roman"/>
          <w:b/>
          <w:bCs/>
          <w:sz w:val="24"/>
          <w:szCs w:val="24"/>
        </w:rPr>
      </w:pPr>
    </w:p>
    <w:p>
      <w:pPr>
        <w:ind w:left="709"/>
        <w:jc w:val="right"/>
        <w:rPr>
          <w:rFonts w:hint="default" w:ascii="Times New Roman" w:hAnsi="Times New Roman" w:cs="Times New Roman"/>
          <w:sz w:val="24"/>
          <w:szCs w:val="24"/>
        </w:rPr>
      </w:pPr>
      <w:r>
        <w:rPr>
          <w:rFonts w:hint="default" w:ascii="Times New Roman" w:hAnsi="Times New Roman" w:cs="Times New Roman"/>
          <w:sz w:val="24"/>
          <w:szCs w:val="24"/>
        </w:rPr>
        <w:t>Ci-après dénommé (e) "le Client", d'autre part,</w:t>
      </w:r>
    </w:p>
    <w:p>
      <w:pPr>
        <w:ind w:left="40"/>
        <w:jc w:val="right"/>
        <w:rPr>
          <w:rFonts w:hint="default" w:ascii="Times New Roman" w:hAnsi="Times New Roman" w:cs="Times New Roman"/>
          <w:sz w:val="24"/>
          <w:szCs w:val="24"/>
        </w:rPr>
      </w:pPr>
    </w:p>
    <w:p>
      <w:pPr>
        <w:jc w:val="right"/>
        <w:rPr>
          <w:rFonts w:hint="default" w:ascii="Times New Roman" w:hAnsi="Times New Roman" w:cs="Times New Roman"/>
          <w:sz w:val="24"/>
          <w:szCs w:val="24"/>
        </w:rPr>
      </w:pPr>
      <w:r>
        <w:rPr>
          <w:rFonts w:hint="default" w:ascii="Times New Roman" w:hAnsi="Times New Roman" w:cs="Times New Roman"/>
          <w:sz w:val="24"/>
          <w:szCs w:val="24"/>
        </w:rPr>
        <w:t xml:space="preserve">              Ci-après dénommés (es) collectivement "Les Parties"</w:t>
      </w:r>
    </w:p>
    <w:p>
      <w:pPr>
        <w:jc w:val="both"/>
        <w:rPr>
          <w:rFonts w:hint="default" w:ascii="Times New Roman" w:hAnsi="Times New Roman" w:cs="Times New Roman"/>
          <w:sz w:val="22"/>
          <w:szCs w:val="22"/>
        </w:rPr>
      </w:pPr>
    </w:p>
    <w:p>
      <w:pPr>
        <w:jc w:val="both"/>
        <w:rPr>
          <w:rFonts w:hint="default" w:ascii="Times New Roman" w:hAnsi="Times New Roman" w:cs="Times New Roman"/>
          <w:b/>
          <w:sz w:val="26"/>
          <w:szCs w:val="26"/>
        </w:rPr>
      </w:pPr>
      <w:r>
        <w:rPr>
          <w:rFonts w:hint="default" w:ascii="Times New Roman" w:hAnsi="Times New Roman" w:cs="Times New Roman"/>
          <w:b/>
          <w:sz w:val="26"/>
          <w:szCs w:val="26"/>
        </w:rPr>
        <w:t>IL A ETE CONVENU CE QUI SUIT :</w:t>
      </w:r>
    </w:p>
    <w:p>
      <w:pPr>
        <w:ind w:left="560"/>
        <w:jc w:val="both"/>
        <w:rPr>
          <w:rFonts w:hint="default" w:ascii="Times New Roman" w:hAnsi="Times New Roman" w:cs="Times New Roman"/>
          <w:sz w:val="26"/>
          <w:szCs w:val="26"/>
        </w:rPr>
      </w:pPr>
    </w:p>
    <w:p>
      <w:pPr>
        <w:ind w:left="20"/>
        <w:jc w:val="both"/>
        <w:rPr>
          <w:rFonts w:hint="default" w:ascii="Times New Roman" w:hAnsi="Times New Roman" w:cs="Times New Roman"/>
          <w:b/>
          <w:smallCaps/>
          <w:sz w:val="26"/>
          <w:szCs w:val="26"/>
        </w:rPr>
      </w:pPr>
      <w:r>
        <w:rPr>
          <w:rFonts w:hint="default" w:ascii="Times New Roman" w:hAnsi="Times New Roman" w:cs="Times New Roman"/>
          <w:b/>
          <w:smallCaps/>
          <w:sz w:val="26"/>
          <w:szCs w:val="26"/>
        </w:rPr>
        <w:t>Article 1 : Montant et durée du prêt</w:t>
      </w:r>
    </w:p>
    <w:p>
      <w:pPr>
        <w:ind w:left="20"/>
        <w:jc w:val="both"/>
        <w:rPr>
          <w:rFonts w:hint="default" w:ascii="Times New Roman" w:hAnsi="Times New Roman" w:cs="Times New Roman"/>
          <w:sz w:val="22"/>
          <w:szCs w:val="22"/>
        </w:rPr>
      </w:pPr>
    </w:p>
    <w:p>
      <w:pPr>
        <w:ind w:left="20"/>
        <w:jc w:val="both"/>
        <w:rPr>
          <w:rFonts w:hint="default" w:ascii="Times New Roman" w:hAnsi="Times New Roman" w:cs="Times New Roman"/>
          <w:sz w:val="24"/>
          <w:szCs w:val="24"/>
        </w:rPr>
      </w:pPr>
      <w:r>
        <w:rPr>
          <w:rFonts w:hint="default" w:ascii="Times New Roman" w:hAnsi="Times New Roman" w:cs="Times New Roman"/>
          <w:sz w:val="24"/>
          <w:szCs w:val="24"/>
        </w:rPr>
        <w:t xml:space="preserve">L’Institution consent à l'Emprunteur, qui accepte et s'engage à en exécuter les termes, conditions et modalités telles que définies ci-après, , « type de crédit  » aux caractéristiques suivantes : </w:t>
      </w:r>
    </w:p>
    <w:p>
      <w:pPr>
        <w:jc w:val="both"/>
        <w:rPr>
          <w:rFonts w:hint="default" w:ascii="Times New Roman" w:hAnsi="Times New Roman" w:cs="Times New Roman"/>
          <w:sz w:val="24"/>
          <w:szCs w:val="24"/>
        </w:rPr>
      </w:pP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cs="Times New Roman"/>
          <w:b/>
          <w:sz w:val="24"/>
          <w:szCs w:val="24"/>
          <w:highlight w:val="yellow"/>
          <w:lang w:val="en-US"/>
        </w:rPr>
        <w:tab/>
      </w:r>
      <w:r>
        <w:rPr>
          <w:rFonts w:hint="default" w:ascii="Times New Roman" w:hAnsi="Times New Roman" w:cs="Times New Roman"/>
          <w:b/>
          <w:sz w:val="24"/>
          <w:szCs w:val="24"/>
          <w:highlight w:val="yellow"/>
        </w:rPr>
        <w:t xml:space="preserve">Montant                          : 15 855 189 F CFA </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Durée                              :  104 mois</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 xml:space="preserve">Périodicité                      : Trimestrielle  </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Taux                                : 17 %</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TAF                                 : 10 %</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 xml:space="preserve">Frais de dossier              : 88  </w:t>
      </w:r>
      <w:r>
        <w:rPr>
          <w:rFonts w:hint="default" w:cs="Times New Roman"/>
          <w:b/>
          <w:sz w:val="24"/>
          <w:szCs w:val="24"/>
          <w:highlight w:val="yellow"/>
          <w:lang w:val="en-US"/>
        </w:rPr>
        <w:t>%</w:t>
      </w:r>
      <w:bookmarkStart w:id="6" w:name="_GoBack"/>
      <w:bookmarkEnd w:id="6"/>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 xml:space="preserve">Prime d’Assurance /ou Prime de risque : </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Prime d’assurance : 799 223  F CFA</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Prime de risque (%)« Montant de la prime de risque »  F CFA</w:t>
      </w:r>
    </w:p>
    <w:p>
      <w:pPr>
        <w:tabs>
          <w:tab w:val="left" w:pos="708"/>
          <w:tab w:val="left" w:pos="1416"/>
          <w:tab w:val="left" w:pos="2124"/>
          <w:tab w:val="left" w:pos="2748"/>
          <w:tab w:val="left" w:pos="3708"/>
        </w:tabs>
        <w:jc w:val="both"/>
        <w:rPr>
          <w:rFonts w:hint="default" w:ascii="Times New Roman" w:hAnsi="Times New Roman" w:cs="Times New Roman"/>
          <w:b/>
          <w:sz w:val="24"/>
          <w:szCs w:val="24"/>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Prime de révision de ligne      : « 1% du capital restant dû après 12 mois »</w:t>
      </w:r>
    </w:p>
    <w:p>
      <w:pPr>
        <w:pStyle w:val="11"/>
        <w:numPr>
          <w:ilvl w:val="0"/>
          <w:numId w:val="1"/>
        </w:numPr>
        <w:tabs>
          <w:tab w:val="left" w:pos="708"/>
          <w:tab w:val="left" w:pos="1416"/>
          <w:tab w:val="left" w:pos="2124"/>
          <w:tab w:val="left" w:pos="2748"/>
          <w:tab w:val="left" w:pos="3708"/>
        </w:tabs>
        <w:jc w:val="both"/>
        <w:rPr>
          <w:rFonts w:hint="default" w:ascii="Times New Roman" w:hAnsi="Times New Roman" w:cs="Times New Roman"/>
          <w:b/>
          <w:sz w:val="24"/>
          <w:szCs w:val="24"/>
        </w:rPr>
      </w:pPr>
      <w:r>
        <w:rPr>
          <w:rFonts w:hint="default" w:ascii="Times New Roman" w:hAnsi="Times New Roman" w:cs="Times New Roman"/>
          <w:b/>
          <w:sz w:val="24"/>
          <w:szCs w:val="24"/>
        </w:rPr>
        <w:t>Date de la première échéance :</w:t>
      </w:r>
    </w:p>
    <w:p>
      <w:pPr>
        <w:pStyle w:val="11"/>
        <w:numPr>
          <w:ilvl w:val="0"/>
          <w:numId w:val="1"/>
        </w:numPr>
        <w:tabs>
          <w:tab w:val="left" w:pos="708"/>
          <w:tab w:val="left" w:pos="1416"/>
          <w:tab w:val="left" w:pos="2124"/>
          <w:tab w:val="left" w:pos="2748"/>
          <w:tab w:val="left" w:pos="3708"/>
        </w:tabs>
        <w:jc w:val="both"/>
        <w:rPr>
          <w:rFonts w:hint="default" w:ascii="Times New Roman" w:hAnsi="Times New Roman" w:cs="Times New Roman"/>
          <w:b/>
          <w:sz w:val="24"/>
          <w:szCs w:val="24"/>
        </w:rPr>
      </w:pPr>
      <w:r>
        <w:rPr>
          <w:rFonts w:hint="default" w:ascii="Times New Roman" w:hAnsi="Times New Roman" w:cs="Times New Roman"/>
          <w:b/>
          <w:sz w:val="24"/>
          <w:szCs w:val="24"/>
        </w:rPr>
        <w:t>Date de dernière échéance :</w:t>
      </w:r>
      <w:r>
        <w:rPr>
          <w:rFonts w:hint="default" w:ascii="Times New Roman" w:hAnsi="Times New Roman" w:cs="Times New Roman"/>
          <w:b/>
          <w:sz w:val="24"/>
          <w:szCs w:val="24"/>
        </w:rPr>
        <w:tab/>
      </w:r>
    </w:p>
    <w:p>
      <w:pPr>
        <w:ind w:left="20"/>
        <w:jc w:val="both"/>
        <w:rPr>
          <w:rFonts w:hint="default" w:ascii="Times New Roman" w:hAnsi="Times New Roman" w:cs="Times New Roman"/>
          <w:b/>
          <w:smallCaps/>
          <w:sz w:val="22"/>
          <w:szCs w:val="22"/>
        </w:rPr>
      </w:pPr>
    </w:p>
    <w:p>
      <w:pPr>
        <w:ind w:left="20"/>
        <w:jc w:val="both"/>
        <w:rPr>
          <w:rFonts w:hint="default" w:ascii="Times New Roman" w:hAnsi="Times New Roman" w:cs="Times New Roman"/>
          <w:b/>
          <w:smallCaps/>
          <w:sz w:val="26"/>
          <w:szCs w:val="26"/>
        </w:rPr>
      </w:pPr>
      <w:r>
        <w:rPr>
          <w:rFonts w:hint="default" w:ascii="Times New Roman" w:hAnsi="Times New Roman" w:cs="Times New Roman"/>
          <w:b/>
          <w:smallCaps/>
          <w:sz w:val="26"/>
          <w:szCs w:val="26"/>
        </w:rPr>
        <w:t>Article 2 : Utilisation des fonds</w:t>
      </w:r>
    </w:p>
    <w:p>
      <w:pPr>
        <w:ind w:left="20"/>
        <w:jc w:val="both"/>
        <w:rPr>
          <w:rFonts w:hint="default" w:ascii="Times New Roman" w:hAnsi="Times New Roman" w:cs="Times New Roman"/>
          <w:sz w:val="22"/>
          <w:szCs w:val="22"/>
        </w:rPr>
      </w:pPr>
    </w:p>
    <w:p>
      <w:pPr>
        <w:shd w:val="clear" w:color="auto" w:fill="FFFFFF" w:themeFill="background1"/>
        <w:jc w:val="both"/>
        <w:rPr>
          <w:rFonts w:hint="default" w:ascii="Times New Roman" w:hAnsi="Times New Roman" w:cs="Times New Roman"/>
          <w:bCs/>
          <w:sz w:val="24"/>
          <w:szCs w:val="24"/>
        </w:rPr>
      </w:pPr>
      <w:r>
        <w:rPr>
          <w:rFonts w:hint="default" w:ascii="Times New Roman" w:hAnsi="Times New Roman" w:cs="Times New Roman"/>
          <w:sz w:val="24"/>
          <w:szCs w:val="24"/>
        </w:rPr>
        <w:t xml:space="preserve">L’Emprunteur déclare que les fonds sont </w:t>
      </w:r>
      <w:r>
        <w:rPr>
          <w:rFonts w:hint="default" w:ascii="Times New Roman" w:hAnsi="Times New Roman" w:cs="Times New Roman"/>
          <w:sz w:val="24"/>
          <w:szCs w:val="24"/>
          <w:shd w:val="clear" w:color="auto" w:fill="FFFFFF" w:themeFill="background1"/>
        </w:rPr>
        <w:t xml:space="preserve">destinés à </w:t>
      </w:r>
      <w:r>
        <w:rPr>
          <w:rFonts w:hint="default" w:ascii="Times New Roman" w:hAnsi="Times New Roman" w:cs="Times New Roman"/>
          <w:sz w:val="24"/>
          <w:szCs w:val="24"/>
          <w:highlight w:val="yellow"/>
          <w:shd w:val="clear" w:color="auto" w:fill="FFFFFF" w:themeFill="background1"/>
        </w:rPr>
        <w:t>Kreiger-Kihn</w:t>
      </w:r>
      <w:r>
        <w:rPr>
          <w:rFonts w:hint="default" w:ascii="Times New Roman" w:hAnsi="Times New Roman" w:cs="Times New Roman"/>
          <w:color w:val="000000"/>
          <w:sz w:val="24"/>
          <w:szCs w:val="24"/>
        </w:rPr>
        <w:t>.</w:t>
      </w:r>
    </w:p>
    <w:p>
      <w:pPr>
        <w:shd w:val="clear" w:color="auto" w:fill="FFFFFF" w:themeFill="background1"/>
        <w:jc w:val="both"/>
        <w:rPr>
          <w:rFonts w:hint="default" w:ascii="Times New Roman" w:hAnsi="Times New Roman" w:cs="Times New Roman"/>
          <w:sz w:val="22"/>
          <w:szCs w:val="22"/>
        </w:rPr>
      </w:pPr>
      <w:r>
        <w:rPr>
          <w:rFonts w:hint="default" w:ascii="Times New Roman" w:hAnsi="Times New Roman" w:cs="Times New Roman"/>
          <w:sz w:val="24"/>
          <w:szCs w:val="24"/>
        </w:rPr>
        <w:t xml:space="preserve">L’institution pourra toujours, si bon lui semble, se faire remettre toutes justifications nécessaires pour suivre l'utilisation qui aura été ou qui sera faite des fonds du Prêt mais elle ne sera pas tenue de vérifier leur emploi. Si l’institution vient à constater que les fonds ont finalement été utilisés à une fin non conforme à l’objet du Prêt, elle pourra si bon lui semble, mais sans il n’y être aucunement tenue, mettre fin au Prêt et exiger le remboursement anticipé des sommes dues au titre du Prêt. </w:t>
      </w:r>
    </w:p>
    <w:p>
      <w:pPr>
        <w:ind w:left="20"/>
        <w:jc w:val="both"/>
        <w:rPr>
          <w:rFonts w:hint="default" w:ascii="Times New Roman" w:hAnsi="Times New Roman" w:cs="Times New Roman"/>
          <w:sz w:val="22"/>
          <w:szCs w:val="22"/>
          <w:u w:val="single"/>
        </w:rPr>
      </w:pPr>
    </w:p>
    <w:p>
      <w:pPr>
        <w:ind w:left="20"/>
        <w:jc w:val="both"/>
        <w:rPr>
          <w:rFonts w:hint="default" w:ascii="Times New Roman" w:hAnsi="Times New Roman" w:cs="Times New Roman"/>
          <w:b/>
          <w:smallCaps/>
          <w:sz w:val="26"/>
          <w:szCs w:val="26"/>
        </w:rPr>
      </w:pPr>
      <w:r>
        <w:rPr>
          <w:rFonts w:hint="default" w:ascii="Times New Roman" w:hAnsi="Times New Roman" w:cs="Times New Roman"/>
          <w:b/>
          <w:smallCaps/>
          <w:sz w:val="26"/>
          <w:szCs w:val="26"/>
        </w:rPr>
        <w:t>Article 3 : Mise à disposition des fonds</w:t>
      </w:r>
    </w:p>
    <w:p>
      <w:pPr>
        <w:jc w:val="both"/>
        <w:rPr>
          <w:rFonts w:hint="default" w:ascii="Times New Roman" w:hAnsi="Times New Roman" w:cs="Times New Roman"/>
          <w:sz w:val="22"/>
          <w:szCs w:val="22"/>
        </w:rPr>
      </w:pPr>
    </w:p>
    <w:p>
      <w:pPr>
        <w:jc w:val="both"/>
        <w:rPr>
          <w:rFonts w:hint="default" w:ascii="Times New Roman" w:hAnsi="Times New Roman" w:cs="Times New Roman"/>
          <w:sz w:val="24"/>
          <w:szCs w:val="24"/>
          <w:vertAlign w:val="superscript"/>
        </w:rPr>
      </w:pPr>
      <w:r>
        <w:rPr>
          <w:rFonts w:hint="default" w:ascii="Times New Roman" w:hAnsi="Times New Roman" w:cs="Times New Roman"/>
          <w:sz w:val="24"/>
          <w:szCs w:val="24"/>
        </w:rPr>
        <w:t>Le montant du prêt ser</w:t>
      </w:r>
      <w:bookmarkStart w:id="1" w:name="_Hlk71196002"/>
      <w:r>
        <w:rPr>
          <w:rFonts w:hint="default" w:ascii="Times New Roman" w:hAnsi="Times New Roman" w:cs="Times New Roman"/>
          <w:sz w:val="24"/>
          <w:szCs w:val="24"/>
        </w:rPr>
        <w:t xml:space="preserve">a versé sur le compte du client </w:t>
      </w:r>
      <w:r>
        <w:rPr>
          <w:rFonts w:hint="default" w:ascii="Times New Roman" w:hAnsi="Times New Roman" w:cs="Times New Roman"/>
          <w:b/>
          <w:sz w:val="24"/>
          <w:szCs w:val="24"/>
          <w:highlight w:val="yellow"/>
        </w:rPr>
        <w:t>N</w:t>
      </w:r>
      <w:bookmarkEnd w:id="1"/>
      <w:r>
        <w:rPr>
          <w:rFonts w:hint="default" w:ascii="Times New Roman" w:hAnsi="Times New Roman" w:cs="Times New Roman"/>
          <w:b/>
          <w:sz w:val="24"/>
          <w:szCs w:val="24"/>
          <w:highlight w:val="yellow"/>
        </w:rPr>
        <w:t>°</w:t>
      </w:r>
      <w:r>
        <w:rPr>
          <w:rFonts w:hint="default" w:ascii="Times New Roman" w:hAnsi="Times New Roman" w:cs="Times New Roman"/>
          <w:sz w:val="24"/>
          <w:szCs w:val="24"/>
          <w:highlight w:val="yellow"/>
        </w:rPr>
        <w:t xml:space="preserve"> 4719875023</w:t>
      </w:r>
      <w:r>
        <w:rPr>
          <w:rFonts w:hint="default" w:ascii="Times New Roman" w:hAnsi="Times New Roman" w:cs="Times New Roman"/>
          <w:b/>
          <w:sz w:val="24"/>
          <w:szCs w:val="24"/>
        </w:rPr>
        <w:t xml:space="preserve"> </w:t>
      </w:r>
      <w:r>
        <w:rPr>
          <w:rFonts w:hint="default" w:ascii="Times New Roman" w:hAnsi="Times New Roman" w:cs="Times New Roman"/>
          <w:sz w:val="24"/>
          <w:szCs w:val="24"/>
        </w:rPr>
        <w:t>ouvert dans les livres de l’Institution.</w:t>
      </w:r>
    </w:p>
    <w:p>
      <w:pPr>
        <w:ind w:left="20"/>
        <w:jc w:val="both"/>
        <w:rPr>
          <w:rFonts w:hint="default" w:ascii="Times New Roman" w:hAnsi="Times New Roman" w:cs="Times New Roman"/>
          <w:sz w:val="24"/>
          <w:szCs w:val="24"/>
        </w:rPr>
      </w:pPr>
      <w:r>
        <w:rPr>
          <w:rFonts w:hint="default" w:ascii="Times New Roman" w:hAnsi="Times New Roman" w:cs="Times New Roman"/>
          <w:sz w:val="24"/>
          <w:szCs w:val="24"/>
        </w:rPr>
        <w:t>Un tableau d’amortissement indicatif sera remis au Client lors du décaissement du prêt ou après la dernière utilisation au cas de décaissements fractionnés.</w:t>
      </w:r>
    </w:p>
    <w:p>
      <w:pPr>
        <w:ind w:left="1276" w:hanging="1256"/>
        <w:jc w:val="both"/>
        <w:rPr>
          <w:rFonts w:hint="default" w:ascii="Times New Roman" w:hAnsi="Times New Roman" w:cs="Times New Roman"/>
          <w:b/>
          <w:smallCaps/>
          <w:sz w:val="22"/>
          <w:szCs w:val="22"/>
        </w:rPr>
      </w:pPr>
    </w:p>
    <w:p>
      <w:pPr>
        <w:ind w:left="1276" w:hanging="1256"/>
        <w:jc w:val="both"/>
        <w:rPr>
          <w:rFonts w:hint="default" w:ascii="Times New Roman" w:hAnsi="Times New Roman" w:cs="Times New Roman"/>
          <w:b/>
          <w:smallCaps/>
          <w:sz w:val="22"/>
          <w:szCs w:val="22"/>
        </w:rPr>
      </w:pPr>
      <w:r>
        <w:rPr>
          <w:rFonts w:hint="default" w:ascii="Times New Roman" w:hAnsi="Times New Roman" w:cs="Times New Roman"/>
          <w:b/>
          <w:smallCaps/>
          <w:sz w:val="22"/>
          <w:szCs w:val="22"/>
        </w:rPr>
        <w:t>Article 4 : Remboursement</w:t>
      </w:r>
    </w:p>
    <w:p>
      <w:pPr>
        <w:ind w:left="1276" w:hanging="1256"/>
        <w:jc w:val="both"/>
        <w:rPr>
          <w:rFonts w:hint="default" w:ascii="Times New Roman" w:hAnsi="Times New Roman" w:cs="Times New Roman"/>
          <w:b/>
          <w:smallCaps/>
          <w:sz w:val="22"/>
          <w:szCs w:val="22"/>
        </w:rPr>
      </w:pPr>
    </w:p>
    <w:p>
      <w:pPr>
        <w:jc w:val="both"/>
        <w:rPr>
          <w:rFonts w:hint="default" w:ascii="Times New Roman" w:hAnsi="Times New Roman" w:cs="Times New Roman"/>
          <w:b/>
          <w:sz w:val="24"/>
          <w:szCs w:val="24"/>
        </w:rPr>
      </w:pPr>
      <w:r>
        <w:rPr>
          <w:rFonts w:hint="default" w:ascii="Times New Roman" w:hAnsi="Times New Roman" w:cs="Times New Roman"/>
          <w:sz w:val="22"/>
          <w:szCs w:val="22"/>
        </w:rPr>
        <w:t xml:space="preserve">L'Emprunteur s'oblige à rembourser le montant en principal du Prêt </w:t>
      </w:r>
      <w:r>
        <w:rPr>
          <w:rFonts w:hint="default" w:ascii="Times New Roman" w:hAnsi="Times New Roman" w:cs="Times New Roman"/>
          <w:sz w:val="22"/>
          <w:szCs w:val="22"/>
          <w:shd w:val="clear" w:color="auto" w:fill="FFFFFF" w:themeFill="background1"/>
        </w:rPr>
        <w:t>au moyen de</w:t>
      </w:r>
      <w:r>
        <w:rPr>
          <w:rFonts w:hint="default" w:ascii="Times New Roman" w:hAnsi="Times New Roman" w:cs="Times New Roman"/>
          <w:sz w:val="22"/>
          <w:szCs w:val="22"/>
          <w:highlight w:val="yellow"/>
          <w:shd w:val="clear" w:color="auto" w:fill="FFFFFF" w:themeFill="background1"/>
        </w:rPr>
        <w:t xml:space="preserve"> </w:t>
      </w:r>
      <w:r>
        <w:rPr>
          <w:rFonts w:hint="default" w:ascii="Times New Roman" w:hAnsi="Times New Roman" w:cs="Times New Roman"/>
          <w:sz w:val="24"/>
          <w:szCs w:val="24"/>
          <w:highlight w:val="yellow"/>
          <w:shd w:val="clear" w:fill="auto"/>
          <w:lang w:val="en-US"/>
        </w:rPr>
        <w:t>104 (cent quatre) mois</w:t>
      </w:r>
      <w:r>
        <w:rPr>
          <w:rFonts w:hint="default" w:ascii="Times New Roman" w:hAnsi="Times New Roman" w:cs="Times New Roman"/>
          <w:sz w:val="24"/>
          <w:szCs w:val="24"/>
          <w:highlight w:val="yellow"/>
        </w:rPr>
        <w:t xml:space="preserve"> avec possibilité de remboursement anticipé. Le remboursement se fera au moyen </w:t>
      </w:r>
      <w:bookmarkStart w:id="2" w:name="_Hlk73715632"/>
      <w:r>
        <w:rPr>
          <w:rFonts w:hint="default" w:ascii="Times New Roman" w:hAnsi="Times New Roman" w:cs="Times New Roman"/>
          <w:sz w:val="24"/>
          <w:szCs w:val="24"/>
          <w:highlight w:val="yellow"/>
        </w:rPr>
        <w:t>d</w:t>
      </w:r>
      <w:bookmarkStart w:id="3" w:name="_Hlk68252455"/>
      <w:r>
        <w:rPr>
          <w:rFonts w:hint="default" w:ascii="Times New Roman" w:hAnsi="Times New Roman" w:cs="Times New Roman"/>
          <w:sz w:val="24"/>
          <w:szCs w:val="24"/>
          <w:highlight w:val="yellow"/>
        </w:rPr>
        <w:t xml:space="preserve">e </w:t>
      </w:r>
      <w:bookmarkEnd w:id="2"/>
      <w:r>
        <w:rPr>
          <w:rFonts w:hint="default" w:ascii="Times New Roman" w:hAnsi="Times New Roman" w:cs="Times New Roman"/>
          <w:sz w:val="24"/>
          <w:szCs w:val="24"/>
          <w:highlight w:val="yellow"/>
        </w:rPr>
        <w:t xml:space="preserve">7 </w:t>
      </w:r>
      <w:r>
        <w:rPr>
          <w:rFonts w:hint="default" w:ascii="Times New Roman" w:hAnsi="Times New Roman" w:cs="Times New Roman"/>
          <w:b/>
          <w:bCs/>
          <w:sz w:val="24"/>
          <w:szCs w:val="24"/>
          <w:highlight w:val="yellow"/>
        </w:rPr>
        <w:t>trimestre</w:t>
      </w:r>
      <w:r>
        <w:rPr>
          <w:rFonts w:hint="default" w:ascii="Times New Roman" w:hAnsi="Times New Roman" w:cs="Times New Roman"/>
          <w:b/>
          <w:sz w:val="24"/>
          <w:szCs w:val="24"/>
          <w:highlight w:val="yellow"/>
        </w:rPr>
        <w:t xml:space="preserve">, avec </w:t>
      </w:r>
      <w:bookmarkStart w:id="4" w:name="_Hlk78957570"/>
      <w:r>
        <w:rPr>
          <w:rFonts w:hint="default" w:ascii="Times New Roman" w:hAnsi="Times New Roman" w:cs="Times New Roman"/>
          <w:b/>
          <w:sz w:val="24"/>
          <w:szCs w:val="24"/>
          <w:highlight w:val="yellow"/>
        </w:rPr>
        <w:t xml:space="preserve">une échéance d’un montant </w:t>
      </w:r>
      <w:bookmarkStart w:id="5" w:name="_Hlk81292668"/>
      <w:r>
        <w:rPr>
          <w:rFonts w:hint="default" w:ascii="Times New Roman" w:hAnsi="Times New Roman" w:cs="Times New Roman"/>
          <w:b/>
          <w:sz w:val="24"/>
          <w:szCs w:val="24"/>
          <w:highlight w:val="yellow"/>
        </w:rPr>
        <w:t xml:space="preserve">de </w:t>
      </w:r>
      <w:bookmarkEnd w:id="3"/>
      <w:bookmarkEnd w:id="4"/>
      <w:bookmarkEnd w:id="5"/>
      <w:r>
        <w:rPr>
          <w:rFonts w:hint="default" w:ascii="Times New Roman" w:hAnsi="Times New Roman" w:cs="Times New Roman"/>
          <w:b/>
          <w:bCs/>
          <w:sz w:val="24"/>
          <w:szCs w:val="24"/>
          <w:highlight w:val="yellow"/>
        </w:rPr>
        <w:t>un million deux cent soixante-deux mille sept cent quatre-vingt-cinq</w:t>
      </w:r>
      <w:r>
        <w:rPr>
          <w:rFonts w:hint="default" w:cs="Times New Roman"/>
          <w:b/>
          <w:bCs/>
          <w:sz w:val="24"/>
          <w:szCs w:val="24"/>
          <w:highlight w:val="yellow"/>
          <w:lang w:val="en-US"/>
        </w:rPr>
        <w:t xml:space="preserve"> (1 262 785)</w:t>
      </w:r>
      <w:r>
        <w:rPr>
          <w:rFonts w:hint="default" w:ascii="Times New Roman" w:hAnsi="Times New Roman" w:cs="Times New Roman"/>
          <w:b/>
          <w:sz w:val="24"/>
          <w:szCs w:val="24"/>
        </w:rPr>
        <w:t xml:space="preserve"> </w:t>
      </w:r>
      <w:r>
        <w:rPr>
          <w:rFonts w:hint="default" w:ascii="Times New Roman" w:hAnsi="Times New Roman" w:cs="Times New Roman"/>
          <w:bCs/>
          <w:sz w:val="24"/>
          <w:szCs w:val="24"/>
        </w:rPr>
        <w:t>chaque mois</w:t>
      </w:r>
      <w:r>
        <w:rPr>
          <w:rFonts w:hint="default" w:ascii="Times New Roman" w:hAnsi="Times New Roman" w:cs="Times New Roman"/>
          <w:sz w:val="24"/>
          <w:szCs w:val="24"/>
        </w:rPr>
        <w:t xml:space="preserve">, </w:t>
      </w:r>
      <w:r>
        <w:rPr>
          <w:rFonts w:hint="default" w:ascii="Times New Roman" w:hAnsi="Times New Roman" w:cs="Times New Roman"/>
          <w:sz w:val="22"/>
          <w:szCs w:val="22"/>
        </w:rPr>
        <w:t>comprenant la somme nécessaire à l’amortissement du capital et les intérêts au taux stipulé ci-dessus. Ce montant qui découle du tableau d’amortissement est simplement indicatif.</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L'Emprunteur autorise irrévocablement l’Institution à prélever toute somme nécessaire au règlement des échéances ainsi que les intérêts de retard, les frais, notamment les frais de constitution des garanties et les frais de recouvrement, les indemnités dues en cas de remboursement anticipé et les primes d’assurance.</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Les parties conviennent que le montant des mensualités peut être morcelé en paiement quotidien. Ces paiements deviennent obligatoires dès lors que survient pour l’Emprunteur des difficultés à s’acquitter régulièrement de ses mensualités. </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Ainsi le montant de l’échéance mensuelle est morcelé en paiement quotidien soit </w:t>
      </w:r>
      <w:r>
        <w:rPr>
          <w:rFonts w:hint="default" w:ascii="Times New Roman" w:hAnsi="Times New Roman" w:cs="Times New Roman"/>
          <w:sz w:val="24"/>
          <w:szCs w:val="24"/>
          <w:highlight w:val="yellow"/>
        </w:rPr>
        <w:t>soixante-trois mille cent trente-neuf et vingt-cinq(63 139)</w:t>
      </w:r>
      <w:r>
        <w:rPr>
          <w:rFonts w:hint="default" w:cs="Times New Roman"/>
          <w:sz w:val="24"/>
          <w:szCs w:val="24"/>
          <w:highlight w:val="yellow"/>
          <w:lang w:val="en-US"/>
        </w:rPr>
        <w:t xml:space="preserve"> </w:t>
      </w:r>
      <w:r>
        <w:rPr>
          <w:rFonts w:hint="default" w:ascii="Times New Roman" w:hAnsi="Times New Roman" w:cs="Times New Roman"/>
          <w:sz w:val="24"/>
          <w:szCs w:val="24"/>
          <w:highlight w:val="yellow"/>
        </w:rPr>
        <w:t>(soit l’échéance mensuelle divisé par 20) »,</w:t>
      </w:r>
      <w:r>
        <w:rPr>
          <w:rFonts w:hint="default" w:ascii="Times New Roman" w:hAnsi="Times New Roman" w:cs="Times New Roman"/>
          <w:sz w:val="24"/>
          <w:szCs w:val="24"/>
        </w:rPr>
        <w:t xml:space="preserve"> </w:t>
      </w:r>
      <w:r>
        <w:rPr>
          <w:rFonts w:hint="default" w:ascii="Times New Roman" w:hAnsi="Times New Roman" w:cs="Times New Roman"/>
          <w:sz w:val="22"/>
          <w:szCs w:val="22"/>
        </w:rPr>
        <w:t>collecté par les agents accrédités de COFINA TOGO SA à cet effet, contre signature du carnet de collecte ou délivrance d’un reçu dument signé par l’agent.</w:t>
      </w:r>
    </w:p>
    <w:p>
      <w:pPr>
        <w:jc w:val="both"/>
        <w:rPr>
          <w:rFonts w:hint="default" w:ascii="Times New Roman" w:hAnsi="Times New Roman" w:cs="Times New Roman"/>
          <w:sz w:val="22"/>
          <w:szCs w:val="22"/>
        </w:rPr>
      </w:pPr>
    </w:p>
    <w:p>
      <w:pPr>
        <w:ind w:left="20"/>
        <w:jc w:val="both"/>
        <w:rPr>
          <w:rFonts w:hint="default" w:ascii="Times New Roman" w:hAnsi="Times New Roman" w:cs="Times New Roman"/>
          <w:b/>
          <w:smallCaps/>
          <w:sz w:val="22"/>
          <w:szCs w:val="22"/>
        </w:rPr>
      </w:pPr>
      <w:r>
        <w:rPr>
          <w:rFonts w:hint="default" w:ascii="Times New Roman" w:hAnsi="Times New Roman" w:cs="Times New Roman"/>
          <w:b/>
          <w:smallCaps/>
          <w:sz w:val="22"/>
          <w:szCs w:val="22"/>
        </w:rPr>
        <w:t>Article 5 : Intérêts de retard</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Toute somme exigible en principal, frais ou accessoires, non payée ou non remboursée par l'Emprunteur au titre de la Convention portera intérêt de plein droit et sans mise en demeure, à compter de sa date d'exigibilité, et jusqu’au jour du paiement ou remboursement effectif. </w:t>
      </w:r>
    </w:p>
    <w:p>
      <w:pPr>
        <w:jc w:val="both"/>
        <w:rPr>
          <w:rFonts w:hint="default" w:ascii="Times New Roman" w:hAnsi="Times New Roman" w:cs="Times New Roman"/>
          <w:sz w:val="22"/>
          <w:szCs w:val="22"/>
        </w:rPr>
      </w:pPr>
      <w:r>
        <w:rPr>
          <w:rFonts w:hint="default" w:ascii="Times New Roman" w:hAnsi="Times New Roman" w:cs="Times New Roman"/>
          <w:sz w:val="22"/>
          <w:szCs w:val="22"/>
        </w:rPr>
        <w:t>Le taux d'intérêt appliqué sera égal à 0,2% de l'échéance due plus un montant de 1000F forfaitaire. Il sera appliqué dès le 1er jour de retard, étant considéré que dès le 1er jour, le mois entier sera dû</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Les intérêts, en ce compris les intérêts de retard, porteront eux-mêmes intérêt au taux défini au présent article s'ils sont dus pour une année entière. </w:t>
      </w:r>
    </w:p>
    <w:p>
      <w:pPr>
        <w:jc w:val="both"/>
        <w:rPr>
          <w:rFonts w:hint="default" w:ascii="Times New Roman" w:hAnsi="Times New Roman" w:cs="Times New Roman"/>
          <w:sz w:val="22"/>
          <w:szCs w:val="22"/>
        </w:rPr>
      </w:pPr>
    </w:p>
    <w:p>
      <w:pPr>
        <w:ind w:left="20"/>
        <w:jc w:val="both"/>
        <w:rPr>
          <w:rFonts w:hint="default" w:ascii="Times New Roman" w:hAnsi="Times New Roman" w:cs="Times New Roman"/>
          <w:sz w:val="22"/>
          <w:szCs w:val="22"/>
        </w:rPr>
      </w:pPr>
      <w:r>
        <w:rPr>
          <w:rFonts w:hint="default" w:ascii="Times New Roman" w:hAnsi="Times New Roman" w:cs="Times New Roman"/>
          <w:sz w:val="22"/>
          <w:szCs w:val="22"/>
        </w:rPr>
        <w:t>Cette stipulation ne pourra nuire à l’exigibilité survenue et par suite valoir accord de délai de règlement.</w:t>
      </w:r>
    </w:p>
    <w:p>
      <w:pPr>
        <w:jc w:val="both"/>
        <w:rPr>
          <w:rFonts w:hint="default" w:ascii="Times New Roman" w:hAnsi="Times New Roman" w:cs="Times New Roman"/>
          <w:b/>
          <w:sz w:val="22"/>
          <w:szCs w:val="22"/>
        </w:rPr>
      </w:pPr>
    </w:p>
    <w:p>
      <w:pPr>
        <w:jc w:val="both"/>
        <w:rPr>
          <w:rFonts w:hint="default" w:ascii="Times New Roman" w:hAnsi="Times New Roman" w:cs="Times New Roman"/>
          <w:b/>
          <w:sz w:val="22"/>
          <w:szCs w:val="22"/>
        </w:rPr>
      </w:pPr>
    </w:p>
    <w:p>
      <w:pPr>
        <w:jc w:val="both"/>
        <w:rPr>
          <w:rFonts w:hint="default" w:ascii="Times New Roman" w:hAnsi="Times New Roman" w:cs="Times New Roman"/>
          <w:b/>
          <w:sz w:val="22"/>
          <w:szCs w:val="22"/>
        </w:rPr>
      </w:pPr>
      <w:r>
        <w:rPr>
          <w:rFonts w:hint="default" w:ascii="Times New Roman" w:hAnsi="Times New Roman" w:cs="Times New Roman"/>
          <w:b/>
          <w:sz w:val="22"/>
          <w:szCs w:val="22"/>
        </w:rPr>
        <w:t>Article 6 : Garanties</w:t>
      </w:r>
    </w:p>
    <w:p>
      <w:pPr>
        <w:jc w:val="both"/>
        <w:rPr>
          <w:rFonts w:hint="default" w:ascii="Times New Roman" w:hAnsi="Times New Roman" w:cs="Times New Roman"/>
          <w:sz w:val="22"/>
          <w:szCs w:val="22"/>
        </w:rPr>
      </w:pPr>
    </w:p>
    <w:p>
      <w:pPr>
        <w:jc w:val="both"/>
        <w:rPr>
          <w:rFonts w:hint="default" w:ascii="Times New Roman" w:hAnsi="Times New Roman" w:cs="Times New Roman"/>
          <w:b/>
          <w:sz w:val="22"/>
          <w:szCs w:val="22"/>
        </w:rPr>
      </w:pPr>
      <w:r>
        <w:rPr>
          <w:rFonts w:hint="default" w:ascii="Times New Roman" w:hAnsi="Times New Roman" w:cs="Times New Roman"/>
          <w:sz w:val="22"/>
          <w:szCs w:val="22"/>
        </w:rPr>
        <w:t xml:space="preserve">6.1 – </w:t>
      </w:r>
      <w:r>
        <w:rPr>
          <w:rFonts w:hint="default" w:ascii="Times New Roman" w:hAnsi="Times New Roman" w:cs="Times New Roman"/>
          <w:b/>
          <w:sz w:val="22"/>
          <w:szCs w:val="22"/>
        </w:rPr>
        <w:t>: Description du bien gagé</w:t>
      </w:r>
    </w:p>
    <w:p>
      <w:pPr>
        <w:jc w:val="both"/>
        <w:rPr>
          <w:rFonts w:hint="default" w:ascii="Times New Roman" w:hAnsi="Times New Roman" w:cs="Times New Roman"/>
          <w:b/>
          <w:sz w:val="22"/>
          <w:szCs w:val="22"/>
        </w:rPr>
      </w:pPr>
    </w:p>
    <w:p>
      <w:pPr>
        <w:autoSpaceDE w:val="0"/>
        <w:autoSpaceDN w:val="0"/>
        <w:adjustRightInd w:val="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 xml:space="preserve">Pour sûreté et remboursement intégral des obligations de l’Emprunteur, le Constituant affecte irrévocablement en gage, au profit du Créancier Gagiste qui accepte, </w:t>
      </w:r>
      <w:r>
        <w:rPr>
          <w:rFonts w:hint="default" w:cs="Times New Roman"/>
          <w:color w:val="000000"/>
          <w:sz w:val="24"/>
          <w:szCs w:val="24"/>
          <w:highlight w:val="yellow"/>
          <w:lang w:val="en-US"/>
        </w:rPr>
        <w:t>${number_pledge.fr}</w:t>
      </w:r>
      <w:r>
        <w:rPr>
          <w:rFonts w:hint="default" w:ascii="Times New Roman" w:hAnsi="Times New Roman" w:cs="Times New Roman"/>
          <w:color w:val="000000"/>
          <w:sz w:val="24"/>
          <w:szCs w:val="24"/>
        </w:rPr>
        <w:t xml:space="preserve"> véhicule, dont les caractéristiques sont les suivantes :  </w:t>
      </w:r>
    </w:p>
    <w:p>
      <w:pPr>
        <w:autoSpaceDE w:val="0"/>
        <w:autoSpaceDN w:val="0"/>
        <w:adjustRightInd w:val="0"/>
        <w:jc w:val="both"/>
        <w:rPr>
          <w:rFonts w:hint="default" w:ascii="Times New Roman" w:hAnsi="Times New Roman" w:cs="Times New Roman"/>
          <w:color w:val="000000"/>
          <w:sz w:val="24"/>
          <w:szCs w:val="24"/>
        </w:rPr>
      </w:pPr>
    </w:p>
    <w:p>
      <w:pPr>
        <w:numPr>
          <w:ilvl w:val="0"/>
          <w:numId w:val="0"/>
        </w:numPr>
        <w:ind w:left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${pledgeList}</w:t>
      </w:r>
    </w:p>
    <w:p>
      <w:pPr>
        <w:numPr>
          <w:ilvl w:val="0"/>
          <w:numId w:val="0"/>
        </w:numPr>
        <w:ind w:leftChars="0" w:firstLine="708"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1.</w:t>
      </w:r>
      <w:r>
        <w:rPr>
          <w:rFonts w:hint="default" w:cs="Times New Roman"/>
          <w:sz w:val="24"/>
          <w:szCs w:val="24"/>
          <w:highlight w:val="yellow"/>
          <w:lang w:val="en-US"/>
        </w:rPr>
        <w:t xml:space="preserve">Soit un </w:t>
      </w:r>
      <w:r>
        <w:rPr>
          <w:rFonts w:hint="default" w:ascii="Times New Roman" w:hAnsi="Times New Roman" w:cs="Times New Roman"/>
          <w:sz w:val="24"/>
          <w:szCs w:val="24"/>
          <w:highlight w:val="yellow"/>
        </w:rPr>
        <w:t>${type.fr}</w:t>
      </w:r>
      <w:r>
        <w:rPr>
          <w:rFonts w:hint="default" w:cs="Times New Roman"/>
          <w:sz w:val="24"/>
          <w:szCs w:val="24"/>
          <w:highlight w:val="yellow"/>
          <w:lang w:val="en-US"/>
        </w:rPr>
        <w:t xml:space="preserve">: </w:t>
      </w:r>
      <w:r>
        <w:rPr>
          <w:rFonts w:hint="default" w:ascii="Times New Roman" w:hAnsi="Times New Roman" w:cs="Times New Roman"/>
          <w:sz w:val="24"/>
          <w:szCs w:val="24"/>
          <w:highlight w:val="yellow"/>
        </w:rPr>
        <w:t> ${comment}</w:t>
      </w:r>
    </w:p>
    <w:p>
      <w:pPr>
        <w:numPr>
          <w:ilvl w:val="0"/>
          <w:numId w:val="0"/>
        </w:numPr>
        <w:ind w:left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${/pledgeList}</w:t>
      </w:r>
    </w:p>
    <w:p>
      <w:pPr>
        <w:autoSpaceDE w:val="0"/>
        <w:autoSpaceDN w:val="0"/>
        <w:adjustRightInd w:val="0"/>
        <w:jc w:val="both"/>
        <w:rPr>
          <w:rFonts w:hint="default" w:ascii="Times New Roman" w:hAnsi="Times New Roman" w:cs="Times New Roman"/>
          <w:b/>
          <w:sz w:val="24"/>
          <w:szCs w:val="24"/>
          <w:u w:val="single"/>
        </w:rPr>
      </w:pPr>
    </w:p>
    <w:p>
      <w:pPr>
        <w:autoSpaceDE w:val="0"/>
        <w:autoSpaceDN w:val="0"/>
        <w:adjustRightInd w:val="0"/>
        <w:jc w:val="both"/>
        <w:rPr>
          <w:rFonts w:hint="default" w:ascii="Times New Roman" w:hAnsi="Times New Roman" w:cs="Times New Roman"/>
          <w:b/>
          <w:sz w:val="24"/>
          <w:szCs w:val="24"/>
          <w:u w:val="single"/>
        </w:rPr>
      </w:pPr>
      <w:r>
        <w:rPr>
          <w:rFonts w:hint="default" w:ascii="Times New Roman" w:hAnsi="Times New Roman" w:cs="Times New Roman"/>
          <w:b/>
          <w:sz w:val="24"/>
          <w:szCs w:val="24"/>
          <w:u w:val="single"/>
        </w:rPr>
        <w:t>6.2 : Réalisation du gage</w:t>
      </w:r>
    </w:p>
    <w:p>
      <w:pPr>
        <w:autoSpaceDE w:val="0"/>
        <w:autoSpaceDN w:val="0"/>
        <w:adjustRightInd w:val="0"/>
        <w:jc w:val="both"/>
        <w:rPr>
          <w:rFonts w:hint="default" w:ascii="Times New Roman" w:hAnsi="Times New Roman" w:cs="Times New Roman"/>
          <w:b/>
          <w:color w:val="000000"/>
          <w:sz w:val="24"/>
          <w:szCs w:val="24"/>
        </w:rPr>
      </w:pPr>
    </w:p>
    <w:p>
      <w:pPr>
        <w:autoSpaceDE w:val="0"/>
        <w:autoSpaceDN w:val="0"/>
        <w:adjustRightInd w:val="0"/>
        <w:jc w:val="both"/>
        <w:rPr>
          <w:rFonts w:hint="default" w:ascii="Times New Roman" w:hAnsi="Times New Roman" w:cs="Times New Roman"/>
          <w:b/>
          <w:color w:val="000000"/>
          <w:sz w:val="24"/>
          <w:szCs w:val="24"/>
        </w:rPr>
      </w:pPr>
      <w:r>
        <w:rPr>
          <w:rFonts w:hint="default" w:ascii="Times New Roman" w:hAnsi="Times New Roman" w:cs="Times New Roman"/>
          <w:b/>
          <w:color w:val="000000"/>
          <w:sz w:val="24"/>
          <w:szCs w:val="24"/>
        </w:rPr>
        <w:t>De convention expresse et sans préjudice des autres dispositions de l'article 104 de l'Acte Uniforme sur les Sûretés, la propriété du véhicule gagé ou du prix de la vente sera transférée au Créancier Gagiste après estimation à dires d’expert dès lors qu’une somme quelconque exigible au titre des Obligations Garanties est demeurée impayée huit (08) jours après une mise en demeure adressée au débiteur par tout moyen permettant de s’assurer de sa réception par le destinataire</w:t>
      </w:r>
      <w:r>
        <w:rPr>
          <w:rFonts w:hint="default" w:ascii="Times New Roman" w:hAnsi="Times New Roman" w:cs="Times New Roman"/>
          <w:color w:val="000000"/>
          <w:sz w:val="22"/>
          <w:szCs w:val="22"/>
        </w:rPr>
        <w:t xml:space="preserve">. </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cs="Times New Roman"/>
          <w:smallCaps/>
          <w:sz w:val="22"/>
          <w:szCs w:val="22"/>
        </w:rPr>
        <w:t xml:space="preserve">             </w:t>
      </w:r>
    </w:p>
    <w:p>
      <w:pPr>
        <w:jc w:val="both"/>
        <w:rPr>
          <w:rFonts w:hint="default" w:ascii="Times New Roman" w:hAnsi="Times New Roman" w:cs="Times New Roman"/>
          <w:b/>
          <w:sz w:val="22"/>
          <w:szCs w:val="22"/>
        </w:rPr>
      </w:pPr>
      <w:r>
        <w:rPr>
          <w:rFonts w:hint="default" w:ascii="Times New Roman" w:hAnsi="Times New Roman" w:cs="Times New Roman"/>
          <w:sz w:val="22"/>
          <w:szCs w:val="22"/>
        </w:rPr>
        <w:t xml:space="preserve">6.3- </w:t>
      </w:r>
      <w:r>
        <w:rPr>
          <w:rFonts w:hint="default" w:ascii="Times New Roman" w:hAnsi="Times New Roman" w:cs="Times New Roman"/>
          <w:b/>
          <w:sz w:val="22"/>
          <w:szCs w:val="22"/>
        </w:rPr>
        <w:t>Autres garantie</w:t>
      </w:r>
    </w:p>
    <w:p>
      <w:pPr>
        <w:jc w:val="both"/>
        <w:rPr>
          <w:rFonts w:hint="default" w:ascii="Times New Roman" w:hAnsi="Times New Roman" w:cs="Times New Roman"/>
          <w:sz w:val="22"/>
          <w:szCs w:val="22"/>
        </w:rPr>
      </w:pPr>
    </w:p>
    <w:p>
      <w:pPr>
        <w:ind w:left="20"/>
        <w:jc w:val="both"/>
        <w:rPr>
          <w:rFonts w:hint="default" w:ascii="Times New Roman" w:hAnsi="Times New Roman" w:cs="Times New Roman"/>
          <w:sz w:val="22"/>
          <w:szCs w:val="22"/>
        </w:rPr>
      </w:pPr>
      <w:r>
        <w:rPr>
          <w:rFonts w:hint="default" w:ascii="Times New Roman" w:hAnsi="Times New Roman" w:cs="Times New Roman"/>
          <w:sz w:val="22"/>
          <w:szCs w:val="22"/>
        </w:rPr>
        <w:t>Les garanties qui précèdent s’ajoutent ou s’ajouteront à toutes garanties réelles ou personnelles qui ont pu ou pourront être fournies au profit de l’Institution par le Client ou par tous tiers.</w:t>
      </w:r>
    </w:p>
    <w:p>
      <w:pPr>
        <w:numPr>
          <w:ilvl w:val="0"/>
          <w:numId w:val="0"/>
        </w:numPr>
        <w:ind w:leftChars="0"/>
        <w:jc w:val="both"/>
        <w:rPr>
          <w:rFonts w:hint="default" w:ascii="Times New Roman" w:hAnsi="Times New Roman" w:cs="Times New Roman"/>
          <w:sz w:val="24"/>
          <w:szCs w:val="24"/>
          <w:highlight w:val="yellow"/>
        </w:rPr>
      </w:pPr>
    </w:p>
    <w:p>
      <w:pPr>
        <w:numPr>
          <w:ilvl w:val="0"/>
          <w:numId w:val="0"/>
        </w:numPr>
        <w:ind w:leftChars="0" w:firstLine="708"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1.Billet à ordre de 30 FCFA:  Dicta quia libero et delectus sed quis autem autem modi incidunt.</w:t>
      </w:r>
    </w:p>
    <w:p>
      <w:pPr>
        <w:numPr>
          <w:ilvl w:val="0"/>
          <w:numId w:val="0"/>
        </w:numPr>
        <w:ind w:leftChars="0" w:firstLine="708"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1.Dépôt de garantie de 814 FCFA:  Officia aut sed repudiandae nesciunt omnis sequi nam mollitia illo quae dolorem ut perferendis et qui dicta quos ipsam adipisci.</w:t>
      </w:r>
    </w:p>
    <w:p>
      <w:pPr>
        <w:numPr>
          <w:ilvl w:val="0"/>
          <w:numId w:val="0"/>
        </w:numPr>
        <w:ind w:leftChars="0" w:firstLine="708"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1.Hypothèque de 11 650 209 FCFA:  Eligendi laborum minima suscipit earum dignissimos aut voluptate at qui reiciendis voluptatem perferendis quasi corrupti quos ea rerum eum.</w:t>
      </w:r>
    </w:p>
    <w:p>
      <w:pPr>
        <w:numPr>
          <w:ilvl w:val="0"/>
          <w:numId w:val="0"/>
        </w:numPr>
        <w:ind w:leftChars="0" w:firstLine="708"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1.Billet à ordre de 2 FCFA:  Sit veritatis minus nihil veniam minima quibusdam rerum animi blanditiis et ea ex vitae.</w:t>
      </w:r>
    </w:p>
    <w:p>
      <w:pPr>
        <w:numPr>
          <w:ilvl w:val="0"/>
          <w:numId w:val="0"/>
        </w:numPr>
        <w:ind w:leftChars="0" w:firstLine="708"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1.Billet à ordre de 26 549 013 FCFA:  Eveniet sequi quia dolorem veritatis sequi voluptates quia exercitationem iure deserunt impedit ut ut sed.</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6.4 Le client donne mandat irrévocable à l’Institution à l’effet d’accomplir toutes les formalités pour la constitution des garanties ci-dessus visées.  </w:t>
      </w:r>
    </w:p>
    <w:p>
      <w:pPr>
        <w:jc w:val="both"/>
        <w:rPr>
          <w:rFonts w:hint="default" w:ascii="Times New Roman" w:hAnsi="Times New Roman" w:cs="Times New Roman"/>
          <w:b/>
          <w:smallCaps/>
          <w:sz w:val="22"/>
          <w:szCs w:val="22"/>
        </w:rPr>
      </w:pPr>
    </w:p>
    <w:p>
      <w:pPr>
        <w:jc w:val="both"/>
        <w:rPr>
          <w:rFonts w:hint="default" w:ascii="Times New Roman" w:hAnsi="Times New Roman" w:cs="Times New Roman"/>
          <w:b/>
          <w:smallCaps/>
          <w:sz w:val="22"/>
          <w:szCs w:val="22"/>
        </w:rPr>
      </w:pPr>
      <w:r>
        <w:rPr>
          <w:rFonts w:hint="default" w:ascii="Times New Roman" w:hAnsi="Times New Roman" w:cs="Times New Roman"/>
          <w:b/>
          <w:smallCaps/>
          <w:sz w:val="22"/>
          <w:szCs w:val="22"/>
        </w:rPr>
        <w:t>Article  7 : Assurances</w:t>
      </w:r>
    </w:p>
    <w:p>
      <w:pPr>
        <w:ind w:left="20"/>
        <w:jc w:val="both"/>
        <w:rPr>
          <w:rFonts w:hint="default" w:ascii="Times New Roman" w:hAnsi="Times New Roman" w:cs="Times New Roman"/>
          <w:sz w:val="22"/>
          <w:szCs w:val="22"/>
        </w:rPr>
      </w:pPr>
    </w:p>
    <w:p>
      <w:pPr>
        <w:ind w:left="20"/>
        <w:jc w:val="both"/>
        <w:rPr>
          <w:rFonts w:hint="default" w:ascii="Times New Roman" w:hAnsi="Times New Roman" w:cs="Times New Roman"/>
          <w:sz w:val="22"/>
          <w:szCs w:val="22"/>
        </w:rPr>
      </w:pPr>
      <w:r>
        <w:rPr>
          <w:rFonts w:hint="default" w:ascii="Times New Roman" w:hAnsi="Times New Roman" w:cs="Times New Roman"/>
          <w:sz w:val="22"/>
          <w:szCs w:val="22"/>
        </w:rPr>
        <w:t>Le Client déclare que le bien gagé est garanti contre les risques d’incendie et généralement contre tous dommages.</w:t>
      </w:r>
    </w:p>
    <w:p>
      <w:pPr>
        <w:ind w:left="20"/>
        <w:jc w:val="both"/>
        <w:rPr>
          <w:rFonts w:hint="default" w:ascii="Times New Roman" w:hAnsi="Times New Roman" w:cs="Times New Roman"/>
          <w:sz w:val="22"/>
          <w:szCs w:val="22"/>
        </w:rPr>
      </w:pPr>
      <w:r>
        <w:rPr>
          <w:rFonts w:hint="default" w:ascii="Times New Roman" w:hAnsi="Times New Roman" w:cs="Times New Roman"/>
          <w:sz w:val="22"/>
          <w:szCs w:val="22"/>
        </w:rPr>
        <w:t>A toute demande de l’Institution le Client devra justifier des assurances et du paiement des primes.</w:t>
      </w:r>
    </w:p>
    <w:p>
      <w:pPr>
        <w:jc w:val="both"/>
        <w:rPr>
          <w:rFonts w:hint="default" w:ascii="Times New Roman" w:hAnsi="Times New Roman" w:cs="Times New Roman"/>
          <w:sz w:val="22"/>
          <w:szCs w:val="22"/>
        </w:rPr>
      </w:pPr>
    </w:p>
    <w:p>
      <w:pPr>
        <w:ind w:left="20"/>
        <w:jc w:val="both"/>
        <w:rPr>
          <w:rFonts w:hint="default" w:ascii="Times New Roman" w:hAnsi="Times New Roman" w:cs="Times New Roman"/>
          <w:smallCaps/>
          <w:sz w:val="22"/>
          <w:szCs w:val="22"/>
        </w:rPr>
      </w:pPr>
      <w:r>
        <w:rPr>
          <w:rFonts w:hint="default" w:ascii="Times New Roman" w:hAnsi="Times New Roman" w:cs="Times New Roman"/>
          <w:b/>
          <w:smallCaps/>
          <w:sz w:val="22"/>
          <w:szCs w:val="22"/>
        </w:rPr>
        <w:t xml:space="preserve">Article 8 : Déclarations du Client </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Le Client déclare et garantit au Prêteur :</w:t>
      </w:r>
    </w:p>
    <w:p>
      <w:pPr>
        <w:ind w:left="709"/>
        <w:jc w:val="both"/>
        <w:rPr>
          <w:rFonts w:hint="default" w:ascii="Times New Roman" w:hAnsi="Times New Roman" w:cs="Times New Roman"/>
          <w:sz w:val="22"/>
          <w:szCs w:val="22"/>
        </w:rPr>
      </w:pPr>
    </w:p>
    <w:p>
      <w:pPr>
        <w:numPr>
          <w:ilvl w:val="0"/>
          <w:numId w:val="2"/>
        </w:numPr>
        <w:jc w:val="both"/>
        <w:rPr>
          <w:rFonts w:hint="default" w:ascii="Times New Roman" w:hAnsi="Times New Roman" w:cs="Times New Roman"/>
          <w:sz w:val="22"/>
          <w:szCs w:val="22"/>
        </w:rPr>
      </w:pPr>
      <w:r>
        <w:rPr>
          <w:rFonts w:hint="default" w:ascii="Times New Roman" w:hAnsi="Times New Roman" w:cs="Times New Roman"/>
          <w:sz w:val="22"/>
          <w:szCs w:val="22"/>
        </w:rPr>
        <w:t>Qu’aucune instance, action, procès ou procédure administrative n’est en cours ou à sa connaissance, n’est sur le point d’être intenté ou engagé pour empêcher ou interdire la signature du présent contrat ou pourrait avoir un effet défavorable important sur son activité, ses actifs ou sa situation financière,</w:t>
      </w:r>
    </w:p>
    <w:p>
      <w:pPr>
        <w:numPr>
          <w:ilvl w:val="0"/>
          <w:numId w:val="2"/>
        </w:numPr>
        <w:jc w:val="both"/>
        <w:rPr>
          <w:rFonts w:hint="default" w:ascii="Times New Roman" w:hAnsi="Times New Roman" w:cs="Times New Roman"/>
          <w:sz w:val="22"/>
          <w:szCs w:val="22"/>
        </w:rPr>
      </w:pPr>
      <w:r>
        <w:rPr>
          <w:rFonts w:hint="default" w:ascii="Times New Roman" w:hAnsi="Times New Roman" w:cs="Times New Roman"/>
          <w:sz w:val="22"/>
          <w:szCs w:val="22"/>
        </w:rPr>
        <w:t>Qu’il a toutes les autorisations nécessaires pour l’exercice de ses activités.</w:t>
      </w:r>
    </w:p>
    <w:p>
      <w:pPr>
        <w:numPr>
          <w:ilvl w:val="0"/>
          <w:numId w:val="2"/>
        </w:numPr>
        <w:jc w:val="both"/>
        <w:rPr>
          <w:rFonts w:hint="default" w:ascii="Times New Roman" w:hAnsi="Times New Roman" w:cs="Times New Roman"/>
          <w:sz w:val="22"/>
          <w:szCs w:val="22"/>
        </w:rPr>
      </w:pPr>
      <w:r>
        <w:rPr>
          <w:rFonts w:hint="default" w:ascii="Times New Roman" w:hAnsi="Times New Roman" w:cs="Times New Roman"/>
          <w:sz w:val="22"/>
          <w:szCs w:val="22"/>
        </w:rPr>
        <w:t>Que les biens remis par lui en gage sont libres de toute inscription de privilège de vendeur et de créancier gagiste,</w:t>
      </w:r>
    </w:p>
    <w:p>
      <w:pPr>
        <w:jc w:val="both"/>
        <w:rPr>
          <w:rFonts w:hint="default" w:ascii="Times New Roman" w:hAnsi="Times New Roman" w:cs="Times New Roman"/>
          <w:b/>
          <w:smallCaps/>
          <w:sz w:val="22"/>
          <w:szCs w:val="22"/>
        </w:rPr>
      </w:pPr>
    </w:p>
    <w:p>
      <w:pPr>
        <w:jc w:val="both"/>
        <w:rPr>
          <w:rFonts w:hint="default" w:ascii="Times New Roman" w:hAnsi="Times New Roman" w:cs="Times New Roman"/>
          <w:b/>
          <w:smallCaps/>
          <w:sz w:val="22"/>
          <w:szCs w:val="22"/>
        </w:rPr>
      </w:pPr>
      <w:r>
        <w:rPr>
          <w:rFonts w:hint="default" w:ascii="Times New Roman" w:hAnsi="Times New Roman" w:cs="Times New Roman"/>
          <w:b/>
          <w:smallCaps/>
          <w:sz w:val="22"/>
          <w:szCs w:val="22"/>
        </w:rPr>
        <w:t>Article 9 : Exigibilité anticipée – Résiliation du contrat</w:t>
      </w:r>
    </w:p>
    <w:p>
      <w:pPr>
        <w:ind w:left="20"/>
        <w:jc w:val="both"/>
        <w:rPr>
          <w:rFonts w:hint="default" w:ascii="Times New Roman" w:hAnsi="Times New Roman" w:cs="Times New Roman"/>
          <w:b/>
          <w:smallCaps/>
          <w:sz w:val="22"/>
          <w:szCs w:val="22"/>
        </w:rPr>
      </w:pPr>
    </w:p>
    <w:p>
      <w:pPr>
        <w:ind w:left="20"/>
        <w:jc w:val="both"/>
        <w:rPr>
          <w:rFonts w:hint="default" w:ascii="Times New Roman" w:hAnsi="Times New Roman" w:cs="Times New Roman"/>
          <w:smallCaps/>
          <w:sz w:val="22"/>
          <w:szCs w:val="22"/>
        </w:rPr>
      </w:pPr>
      <w:r>
        <w:rPr>
          <w:rFonts w:hint="default" w:ascii="Times New Roman" w:hAnsi="Times New Roman" w:cs="Times New Roman"/>
          <w:b/>
          <w:smallCaps/>
          <w:sz w:val="22"/>
          <w:szCs w:val="22"/>
        </w:rPr>
        <w:t xml:space="preserve">             9.1 Exigibilité de plein droit</w:t>
      </w:r>
    </w:p>
    <w:p>
      <w:pPr>
        <w:jc w:val="both"/>
        <w:rPr>
          <w:rFonts w:hint="default" w:ascii="Times New Roman" w:hAnsi="Times New Roman" w:cs="Times New Roman"/>
          <w:smallCaps/>
          <w:sz w:val="22"/>
          <w:szCs w:val="22"/>
        </w:rPr>
      </w:pPr>
    </w:p>
    <w:p>
      <w:pPr>
        <w:jc w:val="both"/>
        <w:rPr>
          <w:rFonts w:hint="default" w:ascii="Times New Roman" w:hAnsi="Times New Roman" w:cs="Times New Roman"/>
          <w:smallCaps/>
          <w:sz w:val="22"/>
          <w:szCs w:val="22"/>
        </w:rPr>
      </w:pPr>
      <w:r>
        <w:rPr>
          <w:rFonts w:hint="default" w:ascii="Times New Roman" w:hAnsi="Times New Roman" w:cs="Times New Roman"/>
          <w:sz w:val="22"/>
          <w:szCs w:val="22"/>
        </w:rPr>
        <w:t>Toutes les sommes dues par le Client à l’Institution au titre du présent contrat seront exigibles par anticipation, immédiatement et de plein droit en cas de :</w:t>
      </w:r>
    </w:p>
    <w:p>
      <w:pPr>
        <w:tabs>
          <w:tab w:val="left" w:pos="640"/>
        </w:tabs>
        <w:ind w:left="640" w:right="5"/>
        <w:jc w:val="both"/>
        <w:rPr>
          <w:rFonts w:hint="default" w:ascii="Times New Roman" w:hAnsi="Times New Roman" w:cs="Times New Roman"/>
          <w:sz w:val="22"/>
          <w:szCs w:val="22"/>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rPr>
      </w:pPr>
      <w:r>
        <w:rPr>
          <w:rFonts w:hint="default" w:ascii="Times New Roman" w:hAnsi="Times New Roman" w:cs="Times New Roman"/>
          <w:sz w:val="22"/>
          <w:szCs w:val="22"/>
        </w:rPr>
        <w:t>Liquidation judiciaire, liquidation amiable, dissolution, plan de cession de l’entreprise dans le cadre d’une procédure collective ou cessation d’exploitation du Client,</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rPr>
      </w:pPr>
      <w:r>
        <w:rPr>
          <w:rFonts w:hint="default" w:ascii="Times New Roman" w:hAnsi="Times New Roman" w:cs="Times New Roman"/>
          <w:sz w:val="22"/>
          <w:szCs w:val="22"/>
        </w:rPr>
        <w:t xml:space="preserve">Situation du Client irrémédiablement compromise ou comportement gravement répréhensible, </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rPr>
      </w:pPr>
      <w:r>
        <w:rPr>
          <w:rFonts w:hint="default" w:ascii="Times New Roman" w:hAnsi="Times New Roman" w:cs="Times New Roman"/>
          <w:sz w:val="22"/>
          <w:szCs w:val="22"/>
        </w:rPr>
        <w:t>Ainsi que tous les cas où la loi le permet.</w:t>
      </w:r>
    </w:p>
    <w:p>
      <w:pPr>
        <w:tabs>
          <w:tab w:val="left" w:pos="640"/>
        </w:tabs>
        <w:ind w:left="640" w:right="5"/>
        <w:jc w:val="both"/>
        <w:rPr>
          <w:rFonts w:hint="default" w:ascii="Times New Roman" w:hAnsi="Times New Roman" w:cs="Times New Roman"/>
          <w:b/>
          <w:sz w:val="22"/>
          <w:szCs w:val="22"/>
        </w:rPr>
      </w:pPr>
    </w:p>
    <w:p>
      <w:pPr>
        <w:tabs>
          <w:tab w:val="left" w:pos="640"/>
        </w:tabs>
        <w:ind w:left="640" w:right="5"/>
        <w:jc w:val="both"/>
        <w:rPr>
          <w:rFonts w:hint="default" w:ascii="Times New Roman" w:hAnsi="Times New Roman" w:cs="Times New Roman"/>
          <w:b/>
          <w:sz w:val="22"/>
          <w:szCs w:val="22"/>
        </w:rPr>
      </w:pPr>
      <w:r>
        <w:rPr>
          <w:rFonts w:hint="default" w:ascii="Times New Roman" w:hAnsi="Times New Roman" w:cs="Times New Roman"/>
          <w:b/>
          <w:sz w:val="22"/>
          <w:szCs w:val="22"/>
        </w:rPr>
        <w:t>9.2 Exigibilité facultative</w:t>
      </w:r>
    </w:p>
    <w:p>
      <w:pPr>
        <w:tabs>
          <w:tab w:val="left" w:pos="640"/>
        </w:tabs>
        <w:ind w:left="640" w:right="5"/>
        <w:jc w:val="both"/>
        <w:rPr>
          <w:rFonts w:hint="default" w:ascii="Times New Roman" w:hAnsi="Times New Roman" w:cs="Times New Roman"/>
          <w:sz w:val="22"/>
          <w:szCs w:val="22"/>
        </w:rPr>
      </w:pPr>
    </w:p>
    <w:p>
      <w:pPr>
        <w:tabs>
          <w:tab w:val="left" w:pos="640"/>
        </w:tabs>
        <w:ind w:right="5"/>
        <w:jc w:val="both"/>
        <w:rPr>
          <w:rFonts w:hint="default" w:ascii="Times New Roman" w:hAnsi="Times New Roman" w:cs="Times New Roman"/>
          <w:sz w:val="22"/>
          <w:szCs w:val="22"/>
        </w:rPr>
      </w:pPr>
      <w:r>
        <w:rPr>
          <w:rFonts w:hint="default" w:ascii="Times New Roman" w:hAnsi="Times New Roman" w:cs="Times New Roman"/>
          <w:sz w:val="22"/>
          <w:szCs w:val="22"/>
        </w:rPr>
        <w:t>De même l’Institution pourra, si bon lui semble, rendre exigible par anticipation toutes les sommes dues par le Client au titre du présent contrat dans l’un des cas suivants :</w:t>
      </w:r>
    </w:p>
    <w:p>
      <w:pPr>
        <w:tabs>
          <w:tab w:val="left" w:pos="640"/>
        </w:tabs>
        <w:ind w:left="640" w:right="5"/>
        <w:jc w:val="both"/>
        <w:rPr>
          <w:rFonts w:hint="default" w:ascii="Times New Roman" w:hAnsi="Times New Roman" w:cs="Times New Roman"/>
          <w:sz w:val="22"/>
          <w:szCs w:val="22"/>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rPr>
      </w:pPr>
      <w:r>
        <w:rPr>
          <w:rFonts w:hint="default" w:ascii="Times New Roman" w:hAnsi="Times New Roman" w:cs="Times New Roman"/>
          <w:sz w:val="22"/>
          <w:szCs w:val="22"/>
        </w:rPr>
        <w:t>Défaillance du Client au titre du prêt. La défaillance s’entend du non-paiement, pour quelque cause que ce soit par la Client de toute somme due en principal, intérêts, intérêts moratoires, commissions, frais et accessoires aux dates d’échéances prévues au titre du prêt après une mise en demeure restée infructueuse,</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rPr>
      </w:pPr>
      <w:r>
        <w:rPr>
          <w:rFonts w:hint="default" w:ascii="Times New Roman" w:hAnsi="Times New Roman" w:cs="Times New Roman"/>
          <w:sz w:val="22"/>
          <w:szCs w:val="22"/>
        </w:rPr>
        <w:t>Non-respect de l’un quelconque des engagements souscrits par le Client au titre du présent contrat,</w:t>
      </w:r>
    </w:p>
    <w:p>
      <w:pPr>
        <w:numPr>
          <w:ilvl w:val="0"/>
          <w:numId w:val="2"/>
        </w:numPr>
        <w:ind w:left="709" w:firstLine="0"/>
        <w:jc w:val="both"/>
        <w:rPr>
          <w:rFonts w:hint="default" w:ascii="Times New Roman" w:hAnsi="Times New Roman" w:cs="Times New Roman"/>
          <w:sz w:val="22"/>
          <w:szCs w:val="22"/>
        </w:rPr>
      </w:pPr>
      <w:r>
        <w:rPr>
          <w:rFonts w:hint="default" w:ascii="Times New Roman" w:hAnsi="Times New Roman" w:cs="Times New Roman"/>
          <w:sz w:val="22"/>
          <w:szCs w:val="22"/>
        </w:rPr>
        <w:t>Exclusion par la Banque Centrale de la signature du Client,</w:t>
      </w:r>
    </w:p>
    <w:p>
      <w:pPr>
        <w:numPr>
          <w:ilvl w:val="0"/>
          <w:numId w:val="2"/>
        </w:numPr>
        <w:jc w:val="both"/>
        <w:rPr>
          <w:rFonts w:hint="default" w:ascii="Times New Roman" w:hAnsi="Times New Roman" w:cs="Times New Roman"/>
          <w:sz w:val="22"/>
          <w:szCs w:val="22"/>
        </w:rPr>
      </w:pPr>
      <w:r>
        <w:rPr>
          <w:rFonts w:hint="default" w:ascii="Times New Roman" w:hAnsi="Times New Roman" w:cs="Times New Roman"/>
          <w:sz w:val="22"/>
          <w:szCs w:val="22"/>
        </w:rPr>
        <w:t>Si les garanties énumérées à l’article « Garanties », ainsi que l’assurance décès-invalidité-incapacité de travail (s’il y a lieu) dont l’Institution doit bénéficier pour sûreté du présent prêt n’étaient pas constituées ou maintenues ou si les garanties ne venaient pas au rang convenu,</w:t>
      </w:r>
    </w:p>
    <w:p>
      <w:pPr>
        <w:numPr>
          <w:ilvl w:val="0"/>
          <w:numId w:val="2"/>
        </w:numPr>
        <w:jc w:val="both"/>
        <w:rPr>
          <w:rFonts w:hint="default" w:ascii="Times New Roman" w:hAnsi="Times New Roman" w:cs="Times New Roman"/>
          <w:sz w:val="22"/>
          <w:szCs w:val="22"/>
        </w:rPr>
      </w:pPr>
      <w:r>
        <w:rPr>
          <w:rFonts w:hint="default" w:ascii="Times New Roman" w:hAnsi="Times New Roman" w:cs="Times New Roman"/>
          <w:sz w:val="22"/>
          <w:szCs w:val="22"/>
        </w:rPr>
        <w:t>Non réalisation à première demande de l’Institution des promesses de garanties dont il est fait état à l’article « Garanties »</w:t>
      </w:r>
    </w:p>
    <w:p>
      <w:pPr>
        <w:numPr>
          <w:ilvl w:val="0"/>
          <w:numId w:val="2"/>
        </w:numPr>
        <w:tabs>
          <w:tab w:val="left" w:pos="560"/>
          <w:tab w:val="left" w:pos="640"/>
        </w:tabs>
        <w:ind w:left="993" w:hanging="284"/>
        <w:jc w:val="both"/>
        <w:rPr>
          <w:rFonts w:hint="default" w:ascii="Times New Roman" w:hAnsi="Times New Roman" w:cs="Times New Roman"/>
          <w:sz w:val="22"/>
          <w:szCs w:val="22"/>
        </w:rPr>
      </w:pPr>
      <w:r>
        <w:rPr>
          <w:rFonts w:hint="default" w:ascii="Times New Roman" w:hAnsi="Times New Roman" w:cs="Times New Roman"/>
          <w:sz w:val="22"/>
          <w:szCs w:val="22"/>
        </w:rPr>
        <w:t>Au cas où plus généralement le Client n'exécuterait pas l'une quelconque de ses obligations résultant du présent contrat et s’il n’y était pas remédié.</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Dans l’un quelconque des cas ci-dessus, l’Institution informera le Client, par lettre recommandée avec accusé de réception adressée au domicile ci-après élu ou lettre remise en mains propres contre récépissé, qu’elle prononce l’exigibilité anticipée du présent prêt en application des dispositions du présent article.</w:t>
      </w:r>
    </w:p>
    <w:p>
      <w:pPr>
        <w:jc w:val="both"/>
        <w:rPr>
          <w:rFonts w:hint="default" w:ascii="Times New Roman" w:hAnsi="Times New Roman" w:cs="Times New Roman"/>
          <w:sz w:val="22"/>
          <w:szCs w:val="22"/>
        </w:rPr>
      </w:pPr>
      <w:r>
        <w:rPr>
          <w:rFonts w:hint="default" w:ascii="Times New Roman" w:hAnsi="Times New Roman" w:cs="Times New Roman"/>
          <w:sz w:val="22"/>
          <w:szCs w:val="22"/>
        </w:rPr>
        <w:t>L’Institution mentionnera dans cette lettre qu’elle se prévaut de la présente clause. Elle n’aura à remplir aucune autre formalité ni à faire prononcer en justice la déchéance du terme. Le paiement ou les régularisations postérieures à cette lettre ne feront pas obstacle à cette exigibilité anticipée.</w:t>
      </w:r>
    </w:p>
    <w:p>
      <w:pPr>
        <w:jc w:val="both"/>
        <w:rPr>
          <w:rFonts w:hint="default" w:ascii="Times New Roman" w:hAnsi="Times New Roman" w:cs="Times New Roman"/>
          <w:b/>
          <w:smallCaps/>
          <w:sz w:val="22"/>
          <w:szCs w:val="22"/>
        </w:rPr>
      </w:pPr>
    </w:p>
    <w:p>
      <w:pPr>
        <w:ind w:left="20"/>
        <w:jc w:val="both"/>
        <w:rPr>
          <w:rFonts w:hint="default" w:ascii="Times New Roman" w:hAnsi="Times New Roman" w:cs="Times New Roman"/>
          <w:b/>
          <w:smallCaps/>
          <w:sz w:val="22"/>
          <w:szCs w:val="22"/>
        </w:rPr>
      </w:pPr>
      <w:r>
        <w:rPr>
          <w:rFonts w:hint="default" w:ascii="Times New Roman" w:hAnsi="Times New Roman" w:cs="Times New Roman"/>
          <w:b/>
          <w:smallCaps/>
          <w:sz w:val="22"/>
          <w:szCs w:val="22"/>
        </w:rPr>
        <w:t xml:space="preserve">Article 10 : Remboursements anticipés </w:t>
      </w:r>
    </w:p>
    <w:p>
      <w:pPr>
        <w:ind w:left="20"/>
        <w:jc w:val="both"/>
        <w:rPr>
          <w:rFonts w:hint="default" w:ascii="Times New Roman" w:hAnsi="Times New Roman" w:cs="Times New Roman"/>
          <w:sz w:val="22"/>
          <w:szCs w:val="22"/>
        </w:rPr>
      </w:pPr>
    </w:p>
    <w:p>
      <w:pPr>
        <w:ind w:left="20"/>
        <w:jc w:val="both"/>
        <w:rPr>
          <w:rFonts w:hint="default" w:ascii="Times New Roman" w:hAnsi="Times New Roman" w:cs="Times New Roman"/>
          <w:sz w:val="22"/>
          <w:szCs w:val="22"/>
        </w:rPr>
      </w:pPr>
      <w:r>
        <w:rPr>
          <w:rFonts w:hint="default" w:ascii="Times New Roman" w:hAnsi="Times New Roman" w:cs="Times New Roman"/>
          <w:sz w:val="22"/>
          <w:szCs w:val="22"/>
        </w:rPr>
        <w:t>Le Client aura la faculté de se libérer par anticipation du montant total ou partiel du présent prêt, à la condition d'en aviser l’Institution un mois à l'avance par lettre recommandée avec accusé de réception ou lettre remise à l’agence contre récépissé.</w:t>
      </w:r>
    </w:p>
    <w:p>
      <w:pPr>
        <w:ind w:left="20"/>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En cas de remboursement par anticipation l’Institution se réserve la faculté d’appliquer une pénalité de 2% HT sur l’encours restant dû par le client.</w:t>
      </w:r>
    </w:p>
    <w:p>
      <w:pPr>
        <w:jc w:val="both"/>
        <w:rPr>
          <w:rFonts w:hint="default" w:ascii="Times New Roman" w:hAnsi="Times New Roman" w:cs="Times New Roman"/>
          <w:b/>
          <w:smallCaps/>
          <w:sz w:val="22"/>
          <w:szCs w:val="22"/>
        </w:rPr>
      </w:pPr>
    </w:p>
    <w:p>
      <w:pPr>
        <w:jc w:val="both"/>
        <w:rPr>
          <w:rFonts w:hint="default" w:ascii="Times New Roman" w:hAnsi="Times New Roman" w:cs="Times New Roman"/>
          <w:b/>
          <w:smallCaps/>
          <w:sz w:val="22"/>
          <w:szCs w:val="22"/>
        </w:rPr>
      </w:pPr>
    </w:p>
    <w:p>
      <w:pPr>
        <w:jc w:val="both"/>
        <w:rPr>
          <w:rFonts w:hint="default" w:ascii="Times New Roman" w:hAnsi="Times New Roman" w:cs="Times New Roman"/>
          <w:b/>
          <w:sz w:val="22"/>
          <w:szCs w:val="22"/>
        </w:rPr>
      </w:pPr>
      <w:r>
        <w:rPr>
          <w:rFonts w:hint="default" w:ascii="Times New Roman" w:hAnsi="Times New Roman" w:cs="Times New Roman"/>
          <w:b/>
          <w:smallCaps/>
          <w:sz w:val="22"/>
          <w:szCs w:val="22"/>
        </w:rPr>
        <w:t xml:space="preserve">Article 11 : </w:t>
      </w:r>
      <w:r>
        <w:rPr>
          <w:rFonts w:hint="default" w:ascii="Times New Roman" w:hAnsi="Times New Roman" w:cs="Times New Roman"/>
          <w:b/>
          <w:sz w:val="22"/>
          <w:szCs w:val="22"/>
        </w:rPr>
        <w:t xml:space="preserve">Durée – Renouvellement du gage </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Le présent contrat entre en vigueur dès sa signature. Il produira effet, dans toute la mesure permise par la loi, aussi longtemps que le Client restera devoir à l’Institution une quelconque somme au titre de la présente obligation.</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Pour assurer la validité du gage ci-dessus consenti, inscription en sera prise à la diligence du client au Registre du Commerce et du Crédit Mobilier du ressort du Greffe du Tribunal Régional dans les formes et délais requis par la loi.</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Si l’obligation n’est pas remboursée trois mois avant la date d’expiration de la durée légale de validité de l’inscription (cinq ans), l’Institution procédera à son renouvellement. A cet effet, le Client donne par le présent mandat irrévocable à l’Institution de procéder aux formalités utiles, sans qu’il soit nécessaire de l’en aviser.</w:t>
      </w:r>
    </w:p>
    <w:p>
      <w:pPr>
        <w:ind w:left="20"/>
        <w:jc w:val="both"/>
        <w:rPr>
          <w:rFonts w:hint="default" w:ascii="Times New Roman" w:hAnsi="Times New Roman" w:cs="Times New Roman"/>
          <w:sz w:val="22"/>
          <w:szCs w:val="22"/>
        </w:rPr>
      </w:pPr>
    </w:p>
    <w:p>
      <w:pPr>
        <w:tabs>
          <w:tab w:val="left" w:pos="709"/>
        </w:tabs>
        <w:ind w:right="5"/>
        <w:jc w:val="both"/>
        <w:rPr>
          <w:rFonts w:hint="default" w:ascii="Times New Roman" w:hAnsi="Times New Roman" w:cs="Times New Roman"/>
          <w:b/>
          <w:smallCaps/>
          <w:sz w:val="22"/>
          <w:szCs w:val="22"/>
        </w:rPr>
      </w:pPr>
      <w:r>
        <w:rPr>
          <w:rFonts w:hint="default" w:ascii="Times New Roman" w:hAnsi="Times New Roman" w:cs="Times New Roman"/>
          <w:b/>
          <w:smallCaps/>
          <w:sz w:val="22"/>
          <w:szCs w:val="22"/>
        </w:rPr>
        <w:t>Article 12- Impôts et frais</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Tous impôts ou taxes quelconques présents et à venir sur le principal ou les intérêts des sommes qui pourront être dues par le Client seront à sa charge, y compris ceux dont l’Institution sera légalement redevable.</w:t>
      </w:r>
    </w:p>
    <w:p>
      <w:pPr>
        <w:ind w:left="709"/>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Tous impôts, droits, taxes ou honoraires relatifs à la constitution ou au renouvellement du présent gage ou à l’exercice ou à la protection par l’Institution des droits découlant dudit gage seront à la charge du Client.</w:t>
      </w:r>
    </w:p>
    <w:p>
      <w:pPr>
        <w:ind w:left="709"/>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Tous les frais engagés par l’Institution pour la mise en place du présent contrat et son exécution, notamment en cas de défaut, seront à la charge du Client. </w:t>
      </w:r>
    </w:p>
    <w:p>
      <w:pPr>
        <w:jc w:val="both"/>
        <w:rPr>
          <w:rFonts w:hint="default" w:ascii="Times New Roman" w:hAnsi="Times New Roman" w:cs="Times New Roman"/>
          <w:b/>
          <w:smallCaps/>
          <w:sz w:val="22"/>
          <w:szCs w:val="22"/>
        </w:rPr>
      </w:pPr>
    </w:p>
    <w:p>
      <w:pPr>
        <w:jc w:val="both"/>
        <w:rPr>
          <w:rFonts w:hint="default" w:ascii="Times New Roman" w:hAnsi="Times New Roman" w:cs="Times New Roman"/>
          <w:b/>
          <w:smallCaps/>
          <w:sz w:val="22"/>
          <w:szCs w:val="22"/>
        </w:rPr>
      </w:pPr>
    </w:p>
    <w:p>
      <w:pPr>
        <w:jc w:val="both"/>
        <w:rPr>
          <w:rFonts w:hint="default" w:ascii="Times New Roman" w:hAnsi="Times New Roman" w:cs="Times New Roman"/>
          <w:b/>
          <w:smallCaps/>
          <w:sz w:val="22"/>
          <w:szCs w:val="22"/>
          <w:u w:val="single"/>
        </w:rPr>
      </w:pPr>
      <w:r>
        <w:rPr>
          <w:rFonts w:hint="default" w:ascii="Times New Roman" w:hAnsi="Times New Roman" w:cs="Times New Roman"/>
          <w:b/>
          <w:smallCaps/>
          <w:sz w:val="22"/>
          <w:szCs w:val="22"/>
        </w:rPr>
        <w:t>Article 13- Loi applicable - Attribution de compétence</w:t>
      </w:r>
    </w:p>
    <w:p>
      <w:pPr>
        <w:tabs>
          <w:tab w:val="left" w:pos="20"/>
        </w:tabs>
        <w:ind w:right="5"/>
        <w:jc w:val="both"/>
        <w:rPr>
          <w:rFonts w:hint="default" w:ascii="Times New Roman" w:hAnsi="Times New Roman" w:cs="Times New Roman"/>
          <w:sz w:val="22"/>
          <w:szCs w:val="22"/>
          <w:u w:val="single"/>
        </w:rPr>
      </w:pPr>
    </w:p>
    <w:p>
      <w:pPr>
        <w:tabs>
          <w:tab w:val="left" w:pos="20"/>
        </w:tabs>
        <w:ind w:right="5"/>
        <w:jc w:val="both"/>
        <w:rPr>
          <w:rFonts w:hint="default" w:ascii="Times New Roman" w:hAnsi="Times New Roman" w:cs="Times New Roman"/>
          <w:sz w:val="22"/>
          <w:szCs w:val="22"/>
          <w:u w:val="single"/>
        </w:rPr>
      </w:pPr>
      <w:r>
        <w:rPr>
          <w:rFonts w:hint="default" w:ascii="Times New Roman" w:hAnsi="Times New Roman" w:cs="Times New Roman"/>
          <w:sz w:val="22"/>
          <w:szCs w:val="22"/>
        </w:rPr>
        <w:t>La présente convention est régie pour sa validité, son interprétation et son exécution par les actes uniformes du traité OHADA et par toute disposition compatible du droit togolais.</w:t>
      </w:r>
    </w:p>
    <w:p>
      <w:pPr>
        <w:jc w:val="both"/>
        <w:rPr>
          <w:rFonts w:hint="default" w:ascii="Times New Roman" w:hAnsi="Times New Roman" w:cs="Times New Roman"/>
          <w:sz w:val="22"/>
          <w:szCs w:val="22"/>
          <w:u w:val="single"/>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Les tribunaux togolais seront seuls compétents pour connaître des litiges qui pourraient surgir à propos de l'interprétation ou de l'exécution de la présente convention.</w:t>
      </w:r>
    </w:p>
    <w:p>
      <w:pPr>
        <w:tabs>
          <w:tab w:val="left" w:pos="709"/>
        </w:tabs>
        <w:ind w:right="1705"/>
        <w:rPr>
          <w:rFonts w:hint="default" w:ascii="Times New Roman" w:hAnsi="Times New Roman" w:cs="Times New Roman"/>
          <w:sz w:val="22"/>
          <w:szCs w:val="22"/>
        </w:rPr>
      </w:pPr>
    </w:p>
    <w:p>
      <w:pPr>
        <w:tabs>
          <w:tab w:val="left" w:pos="709"/>
        </w:tabs>
        <w:ind w:left="2836" w:right="5"/>
        <w:rPr>
          <w:rFonts w:hint="default" w:ascii="Times New Roman" w:hAnsi="Times New Roman" w:cs="Times New Roman"/>
          <w:sz w:val="22"/>
          <w:szCs w:val="22"/>
        </w:rPr>
      </w:pPr>
      <w:r>
        <w:rPr>
          <w:rFonts w:hint="default" w:ascii="Times New Roman" w:hAnsi="Times New Roman" w:cs="Times New Roman"/>
          <w:sz w:val="22"/>
          <w:szCs w:val="22"/>
        </w:rPr>
        <w:t>Fait à Lomé Le …………………</w:t>
      </w:r>
    </w:p>
    <w:p>
      <w:pPr>
        <w:tabs>
          <w:tab w:val="left" w:pos="709"/>
        </w:tabs>
        <w:ind w:left="2836" w:right="5"/>
        <w:rPr>
          <w:rFonts w:hint="default" w:ascii="Times New Roman" w:hAnsi="Times New Roman" w:cs="Times New Roman"/>
          <w:sz w:val="22"/>
          <w:szCs w:val="22"/>
        </w:rPr>
      </w:pPr>
      <w:r>
        <w:rPr>
          <w:rFonts w:hint="default" w:ascii="Times New Roman" w:hAnsi="Times New Roman" w:cs="Times New Roman"/>
          <w:sz w:val="22"/>
          <w:szCs w:val="22"/>
        </w:rPr>
        <w:t>En 3 exemplaires originaux destinés à être enregistrés et inscrits au Registre du Commerce et du Crédit</w:t>
      </w:r>
      <w:r>
        <w:rPr>
          <w:rFonts w:hint="default" w:ascii="Times New Roman" w:hAnsi="Times New Roman" w:cs="Times New Roman"/>
          <w:b/>
          <w:sz w:val="22"/>
          <w:szCs w:val="22"/>
        </w:rPr>
        <w:t xml:space="preserve"> </w:t>
      </w:r>
      <w:r>
        <w:rPr>
          <w:rFonts w:hint="default" w:ascii="Times New Roman" w:hAnsi="Times New Roman" w:cs="Times New Roman"/>
          <w:sz w:val="22"/>
          <w:szCs w:val="22"/>
        </w:rPr>
        <w:t>Mobilier conformément aux articles 95 et suivants de l’Acte Uniforme Portant Organisation des Sûretés.</w:t>
      </w:r>
    </w:p>
    <w:p>
      <w:pPr>
        <w:tabs>
          <w:tab w:val="left" w:pos="709"/>
        </w:tabs>
        <w:ind w:right="5"/>
        <w:rPr>
          <w:rFonts w:hint="default" w:ascii="Times New Roman" w:hAnsi="Times New Roman" w:cs="Times New Roman"/>
          <w:sz w:val="22"/>
          <w:szCs w:val="22"/>
        </w:rPr>
      </w:pPr>
    </w:p>
    <w:p>
      <w:pPr>
        <w:tabs>
          <w:tab w:val="left" w:pos="709"/>
        </w:tabs>
        <w:ind w:right="5"/>
        <w:rPr>
          <w:rFonts w:hint="default" w:ascii="Times New Roman" w:hAnsi="Times New Roman" w:cs="Times New Roman"/>
          <w:sz w:val="22"/>
          <w:szCs w:val="22"/>
        </w:rPr>
      </w:pPr>
    </w:p>
    <w:p>
      <w:pPr>
        <w:jc w:val="center"/>
        <w:rPr>
          <w:rFonts w:hint="default" w:ascii="Times New Roman" w:hAnsi="Times New Roman" w:cs="Times New Roman"/>
          <w:b/>
          <w:sz w:val="24"/>
          <w:szCs w:val="24"/>
        </w:rPr>
      </w:pPr>
    </w:p>
    <w:tbl>
      <w:tblPr>
        <w:tblStyle w:val="8"/>
        <w:tblpPr w:leftFromText="180" w:rightFromText="180" w:vertAnchor="text" w:horzAnchor="page" w:tblpX="7652" w:tblpY="385"/>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5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92" w:hRule="atLeast"/>
        </w:trPr>
        <w:tc>
          <w:tcPr>
            <w:tcW w:w="3059" w:type="dxa"/>
            <w:tcBorders>
              <w:tl2br w:val="nil"/>
              <w:tr2bl w:val="nil"/>
            </w:tcBorders>
          </w:tcPr>
          <w:p>
            <w:pPr>
              <w:widowControl w:val="0"/>
              <w:jc w:val="both"/>
              <w:rPr>
                <w:rFonts w:hint="default" w:ascii="Times New Roman" w:hAnsi="Times New Roman" w:cs="Times New Roman"/>
                <w:b/>
                <w:sz w:val="24"/>
                <w:szCs w:val="24"/>
                <w:vertAlign w:val="baseline"/>
              </w:rPr>
            </w:pPr>
            <w:r>
              <w:rPr>
                <w:rFonts w:hint="default" w:ascii="Times New Roman" w:hAnsi="Times New Roman" w:cs="Times New Roman"/>
                <w:b/>
                <w:bCs/>
                <w:iCs/>
                <w:color w:val="000000"/>
                <w:sz w:val="24"/>
                <w:szCs w:val="24"/>
                <w:shd w:val="clear" w:fill="auto"/>
              </w:rPr>
              <w:t>Mr. Koffi Djramedo GAMADO, Head Crédit</w:t>
            </w:r>
          </w:p>
        </w:tc>
      </w:tr>
    </w:tbl>
    <w:p>
      <w:pPr>
        <w:jc w:val="center"/>
        <w:rPr>
          <w:rFonts w:hint="default" w:ascii="Times New Roman" w:hAnsi="Times New Roman" w:cs="Times New Roman"/>
          <w:b/>
          <w:sz w:val="24"/>
          <w:szCs w:val="24"/>
        </w:rPr>
      </w:pPr>
      <w:r>
        <w:rPr>
          <w:rFonts w:hint="default" w:ascii="Times New Roman" w:hAnsi="Times New Roman" w:cs="Times New Roman"/>
          <w:b/>
          <w:sz w:val="24"/>
          <w:szCs w:val="24"/>
        </w:rPr>
        <w:t>Pour l’Institution</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7" w:hRule="atLeast"/>
        </w:trPr>
        <w:tc>
          <w:tcPr>
            <w:tcW w:w="3624" w:type="dxa"/>
            <w:tcBorders>
              <w:tl2br w:val="nil"/>
              <w:tr2bl w:val="nil"/>
            </w:tcBorders>
          </w:tcPr>
          <w:p>
            <w:pPr>
              <w:widowControl w:val="0"/>
              <w:spacing w:before="0" w:after="0"/>
              <w:jc w:val="both"/>
              <w:rPr>
                <w:rFonts w:hint="default" w:ascii="Times New Roman" w:hAnsi="Times New Roman" w:cs="Times New Roman"/>
                <w:b/>
                <w:bCs/>
                <w:iCs/>
                <w:color w:val="000000"/>
                <w:sz w:val="24"/>
                <w:szCs w:val="24"/>
              </w:rPr>
            </w:pPr>
            <w:r>
              <w:rPr>
                <w:rFonts w:hint="default" w:ascii="Times New Roman" w:hAnsi="Times New Roman" w:cs="Times New Roman"/>
                <w:b/>
                <w:bCs/>
                <w:iCs/>
                <w:sz w:val="24"/>
                <w:szCs w:val="24"/>
              </w:rPr>
              <w:t xml:space="preserve">Mme. Christèle F. R. FEBON </w:t>
            </w:r>
            <w:r>
              <w:rPr>
                <w:rFonts w:hint="default" w:ascii="Times New Roman" w:hAnsi="Times New Roman" w:cs="Times New Roman"/>
                <w:bCs/>
                <w:iCs/>
                <w:sz w:val="24"/>
                <w:szCs w:val="24"/>
              </w:rPr>
              <w:t>épse</w:t>
            </w:r>
            <w:r>
              <w:rPr>
                <w:rFonts w:hint="default" w:ascii="Times New Roman" w:hAnsi="Times New Roman" w:cs="Times New Roman"/>
                <w:b/>
                <w:bCs/>
                <w:iCs/>
                <w:sz w:val="24"/>
                <w:szCs w:val="24"/>
              </w:rPr>
              <w:t xml:space="preserve"> JOHNSON        </w:t>
            </w:r>
          </w:p>
          <w:p>
            <w:pPr>
              <w:widowControl w:val="0"/>
              <w:jc w:val="both"/>
              <w:rPr>
                <w:rFonts w:hint="default" w:ascii="Times New Roman" w:hAnsi="Times New Roman" w:cs="Times New Roman"/>
                <w:b/>
                <w:sz w:val="24"/>
                <w:szCs w:val="24"/>
                <w:vertAlign w:val="baseline"/>
              </w:rPr>
            </w:pPr>
            <w:r>
              <w:rPr>
                <w:rFonts w:hint="default" w:ascii="Times New Roman" w:hAnsi="Times New Roman" w:cs="Times New Roman"/>
                <w:bCs/>
                <w:iCs/>
                <w:sz w:val="24"/>
                <w:szCs w:val="24"/>
              </w:rPr>
              <w:t>Directrice d’exploitation</w:t>
            </w:r>
          </w:p>
        </w:tc>
      </w:tr>
    </w:tbl>
    <w:p>
      <w:pPr>
        <w:rPr>
          <w:rFonts w:hint="default" w:ascii="Times New Roman" w:hAnsi="Times New Roman" w:cs="Times New Roman"/>
          <w:bCs/>
          <w:iCs/>
          <w:sz w:val="24"/>
        </w:rPr>
      </w:pPr>
    </w:p>
    <w:p>
      <w:pPr>
        <w:rPr>
          <w:rFonts w:hint="default" w:ascii="Times New Roman" w:hAnsi="Times New Roman" w:cs="Times New Roman"/>
          <w:bCs/>
          <w:iCs/>
          <w:sz w:val="24"/>
        </w:rPr>
      </w:pPr>
    </w:p>
    <w:p>
      <w:pPr>
        <w:rPr>
          <w:rFonts w:hint="default" w:ascii="Times New Roman" w:hAnsi="Times New Roman" w:cs="Times New Roman"/>
          <w:b/>
          <w:bCs/>
          <w:iCs/>
          <w:sz w:val="24"/>
        </w:rPr>
      </w:pPr>
    </w:p>
    <w:p>
      <w:pPr>
        <w:rPr>
          <w:rFonts w:hint="default" w:ascii="Times New Roman" w:hAnsi="Times New Roman" w:cs="Times New Roman"/>
          <w:b/>
          <w:bCs/>
          <w:iCs/>
          <w:sz w:val="24"/>
        </w:rPr>
      </w:pPr>
    </w:p>
    <w:p>
      <w:pPr>
        <w:rPr>
          <w:rFonts w:hint="default" w:ascii="Times New Roman" w:hAnsi="Times New Roman" w:cs="Times New Roman"/>
          <w:sz w:val="24"/>
          <w:szCs w:val="24"/>
        </w:rPr>
      </w:pPr>
      <w:r>
        <w:rPr>
          <w:rFonts w:hint="default" w:ascii="Times New Roman" w:hAnsi="Times New Roman" w:cs="Times New Roman"/>
          <w:b/>
          <w:bCs/>
          <w:sz w:val="24"/>
          <w:szCs w:val="24"/>
        </w:rPr>
        <w:t xml:space="preserve">                                                      </w:t>
      </w:r>
    </w:p>
    <w:p>
      <w:pPr>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Pour le Client </w:t>
      </w:r>
      <w:r>
        <w:rPr>
          <w:rFonts w:hint="default" w:ascii="Times New Roman" w:hAnsi="Times New Roman" w:cs="Times New Roman"/>
          <w:b/>
          <w:sz w:val="24"/>
          <w:szCs w:val="24"/>
          <w:highlight w:val="yellow"/>
        </w:rPr>
        <w:t>ganam style</w:t>
      </w:r>
    </w:p>
    <w:p>
      <w:pPr>
        <w:jc w:val="center"/>
        <w:rPr>
          <w:rFonts w:hint="default" w:ascii="Times New Roman" w:hAnsi="Times New Roman" w:cs="Times New Roman"/>
          <w:b/>
          <w:sz w:val="24"/>
          <w:szCs w:val="24"/>
        </w:rPr>
      </w:pPr>
    </w:p>
    <w:p>
      <w:pPr>
        <w:spacing w:before="0" w:after="200"/>
        <w:jc w:val="center"/>
        <w:rPr>
          <w:rFonts w:hint="default" w:ascii="Times New Roman" w:hAnsi="Times New Roman" w:cs="Times New Roman"/>
          <w:b/>
          <w:bCs w:val="0"/>
          <w:iCs/>
          <w:sz w:val="24"/>
          <w:szCs w:val="24"/>
          <w:highlight w:val="yellow"/>
          <w:shd w:val="clear" w:fill="auto"/>
        </w:rPr>
      </w:pPr>
    </w:p>
    <w:p>
      <w:pPr>
        <w:spacing w:before="0" w:after="200"/>
        <w:jc w:val="center"/>
        <w:rPr>
          <w:rFonts w:hint="default" w:ascii="Times New Roman" w:hAnsi="Times New Roman" w:cs="Times New Roman"/>
          <w:b/>
          <w:bCs w:val="0"/>
          <w:iCs/>
          <w:sz w:val="24"/>
          <w:szCs w:val="24"/>
          <w:highlight w:val="yellow"/>
          <w:shd w:val="clear" w:fill="auto"/>
        </w:rPr>
      </w:pPr>
    </w:p>
    <w:p>
      <w:pPr>
        <w:spacing w:before="0" w:after="200"/>
        <w:jc w:val="center"/>
        <w:rPr>
          <w:rFonts w:hint="default" w:ascii="Times New Roman" w:hAnsi="Times New Roman" w:cs="Times New Roman"/>
          <w:sz w:val="24"/>
        </w:rPr>
      </w:pPr>
      <w:r>
        <w:rPr>
          <w:rFonts w:hint="default" w:ascii="Times New Roman" w:hAnsi="Times New Roman" w:cs="Times New Roman"/>
          <w:b/>
          <w:bCs w:val="0"/>
          <w:iCs/>
          <w:sz w:val="24"/>
          <w:szCs w:val="24"/>
          <w:highlight w:val="yellow"/>
          <w:shd w:val="clear" w:fill="auto"/>
        </w:rPr>
        <w:t>Mlle Pfannerstill Deon</w:t>
      </w:r>
    </w:p>
    <w:sectPr>
      <w:headerReference r:id="rId5" w:type="default"/>
      <w:footerReference r:id="rId6" w:type="default"/>
      <w:footerReference r:id="rId7" w:type="even"/>
      <w:pgSz w:w="11907" w:h="16840"/>
      <w:pgMar w:top="1134" w:right="1134" w:bottom="964" w:left="1134" w:header="397" w:footer="397" w:gutter="567"/>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0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New York">
    <w:altName w:val="Times New Roman"/>
    <w:panose1 w:val="02040503060506020304"/>
    <w:charset w:val="00"/>
    <w:family w:val="roma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separate"/>
    </w:r>
    <w:r>
      <w:rPr>
        <w:rStyle w:val="7"/>
      </w:rPr>
      <w:t>5</w:t>
    </w:r>
    <w:r>
      <w:rPr>
        <w:rStyle w:val="7"/>
      </w:rPr>
      <w:fldChar w:fldCharType="end"/>
    </w:r>
  </w:p>
  <w:p>
    <w:pPr>
      <w:pStyle w:val="5"/>
      <w:rPr>
        <w:b/>
        <w:bCs/>
        <w:sz w:val="16"/>
        <w:szCs w:val="16"/>
        <w:highlight w:val="yellow"/>
      </w:rPr>
    </w:pPr>
    <w:r>
      <w:rPr>
        <w:rFonts w:ascii="Calibri" w:hAnsi="Calibri" w:cs="Calibri"/>
        <w:sz w:val="16"/>
      </w:rPr>
      <w:t xml:space="preserve">CONTRAT DE PRET  ET GAGE- </w:t>
    </w:r>
    <w:r>
      <w:rPr>
        <w:rFonts w:hint="default"/>
        <w:b/>
        <w:bCs/>
        <w:iCs/>
        <w:sz w:val="16"/>
        <w:szCs w:val="16"/>
        <w:highlight w:val="yellow"/>
      </w:rPr>
      <w:t>ganam style</w:t>
    </w: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end"/>
    </w:r>
  </w:p>
  <w:p>
    <w:pPr>
      <w:pStyle w:val="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drawing>
        <wp:inline distT="0" distB="0" distL="0" distR="0">
          <wp:extent cx="2752725" cy="7524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52725" cy="7524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E"/>
    <w:multiLevelType w:val="singleLevel"/>
    <w:tmpl w:val="FFFFFFFE"/>
    <w:lvl w:ilvl="0" w:tentative="0">
      <w:start w:val="0"/>
      <w:numFmt w:val="decimal"/>
      <w:lvlText w:val="*"/>
      <w:lvlJc w:val="left"/>
    </w:lvl>
  </w:abstractNum>
  <w:abstractNum w:abstractNumId="1">
    <w:nsid w:val="05F06648"/>
    <w:multiLevelType w:val="multilevel"/>
    <w:tmpl w:val="05F066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2EE7E44"/>
    <w:multiLevelType w:val="singleLevel"/>
    <w:tmpl w:val="62EE7E44"/>
    <w:lvl w:ilvl="0" w:tentative="0">
      <w:start w:val="1"/>
      <w:numFmt w:val="bullet"/>
      <w:lvlText w:val=""/>
      <w:lvlJc w:val="left"/>
      <w:pPr>
        <w:tabs>
          <w:tab w:val="left" w:pos="360"/>
        </w:tabs>
        <w:ind w:left="360" w:hanging="360"/>
      </w:pPr>
      <w:rPr>
        <w:rFonts w:hint="default" w:ascii="Symbol" w:hAnsi="Symbol"/>
      </w:rPr>
    </w:lvl>
  </w:abstractNum>
  <w:num w:numId="1">
    <w:abstractNumId w:val="1"/>
  </w:num>
  <w:num w:numId="2">
    <w:abstractNumId w:val="0"/>
    <w:lvlOverride w:ilvl="0">
      <w:lvl w:ilvl="0" w:tentative="1">
        <w:start w:val="1"/>
        <w:numFmt w:val="bullet"/>
        <w:lvlText w:val=""/>
        <w:legacy w:legacy="1" w:legacySpace="0" w:legacyIndent="283"/>
        <w:lvlJc w:val="left"/>
        <w:pPr>
          <w:ind w:left="992" w:hanging="283"/>
        </w:pPr>
        <w:rPr>
          <w:rFonts w:hint="default" w:ascii="Symbol" w:hAnsi="Symbol"/>
        </w:rPr>
      </w:lvl>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8"/>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D36"/>
    <w:rsid w:val="00003972"/>
    <w:rsid w:val="0005474B"/>
    <w:rsid w:val="0005672D"/>
    <w:rsid w:val="00063ADD"/>
    <w:rsid w:val="00064C29"/>
    <w:rsid w:val="00077D93"/>
    <w:rsid w:val="000808AB"/>
    <w:rsid w:val="0008743C"/>
    <w:rsid w:val="000C05E4"/>
    <w:rsid w:val="000C119F"/>
    <w:rsid w:val="000C1937"/>
    <w:rsid w:val="000C3E5E"/>
    <w:rsid w:val="001107D8"/>
    <w:rsid w:val="00121528"/>
    <w:rsid w:val="00136EB0"/>
    <w:rsid w:val="0018216A"/>
    <w:rsid w:val="00194779"/>
    <w:rsid w:val="001A2FC7"/>
    <w:rsid w:val="001B71A3"/>
    <w:rsid w:val="001C7303"/>
    <w:rsid w:val="001F2AE5"/>
    <w:rsid w:val="001F3AB1"/>
    <w:rsid w:val="001F46C0"/>
    <w:rsid w:val="00200097"/>
    <w:rsid w:val="00203CED"/>
    <w:rsid w:val="00221BAE"/>
    <w:rsid w:val="00225FB5"/>
    <w:rsid w:val="00243C6A"/>
    <w:rsid w:val="00250B03"/>
    <w:rsid w:val="00256A25"/>
    <w:rsid w:val="002841BD"/>
    <w:rsid w:val="00285C00"/>
    <w:rsid w:val="002A460A"/>
    <w:rsid w:val="002B23DD"/>
    <w:rsid w:val="002C0A91"/>
    <w:rsid w:val="002C2454"/>
    <w:rsid w:val="002C38F3"/>
    <w:rsid w:val="002D5B4E"/>
    <w:rsid w:val="002E3D53"/>
    <w:rsid w:val="002F0C57"/>
    <w:rsid w:val="00326D67"/>
    <w:rsid w:val="0033327D"/>
    <w:rsid w:val="0034250B"/>
    <w:rsid w:val="003913C2"/>
    <w:rsid w:val="003941BC"/>
    <w:rsid w:val="003B7637"/>
    <w:rsid w:val="003D5F2D"/>
    <w:rsid w:val="00404C54"/>
    <w:rsid w:val="00416DF4"/>
    <w:rsid w:val="00447DFE"/>
    <w:rsid w:val="004842E5"/>
    <w:rsid w:val="00497060"/>
    <w:rsid w:val="004C20F3"/>
    <w:rsid w:val="004E22DE"/>
    <w:rsid w:val="004E76A1"/>
    <w:rsid w:val="00504321"/>
    <w:rsid w:val="00507195"/>
    <w:rsid w:val="00543D67"/>
    <w:rsid w:val="0055143F"/>
    <w:rsid w:val="00585DFD"/>
    <w:rsid w:val="0059635E"/>
    <w:rsid w:val="005A5233"/>
    <w:rsid w:val="005B657A"/>
    <w:rsid w:val="005C7C1E"/>
    <w:rsid w:val="005E3B1C"/>
    <w:rsid w:val="005F0C42"/>
    <w:rsid w:val="00600498"/>
    <w:rsid w:val="00600DC9"/>
    <w:rsid w:val="0061064A"/>
    <w:rsid w:val="00633F94"/>
    <w:rsid w:val="006357E5"/>
    <w:rsid w:val="00636014"/>
    <w:rsid w:val="00670271"/>
    <w:rsid w:val="006A5ABE"/>
    <w:rsid w:val="006B39F1"/>
    <w:rsid w:val="006C023A"/>
    <w:rsid w:val="006C1230"/>
    <w:rsid w:val="006D33EA"/>
    <w:rsid w:val="006F0717"/>
    <w:rsid w:val="007305CE"/>
    <w:rsid w:val="007430C3"/>
    <w:rsid w:val="00764242"/>
    <w:rsid w:val="007810A3"/>
    <w:rsid w:val="007905E6"/>
    <w:rsid w:val="007A4608"/>
    <w:rsid w:val="007C0A00"/>
    <w:rsid w:val="007C1D9C"/>
    <w:rsid w:val="007C6B7F"/>
    <w:rsid w:val="007E20D1"/>
    <w:rsid w:val="007E30D0"/>
    <w:rsid w:val="00820E65"/>
    <w:rsid w:val="008237B4"/>
    <w:rsid w:val="00832D9C"/>
    <w:rsid w:val="00835265"/>
    <w:rsid w:val="008549D9"/>
    <w:rsid w:val="00864CD8"/>
    <w:rsid w:val="00867095"/>
    <w:rsid w:val="00867235"/>
    <w:rsid w:val="00890963"/>
    <w:rsid w:val="008C1EF2"/>
    <w:rsid w:val="008D5745"/>
    <w:rsid w:val="008F36BD"/>
    <w:rsid w:val="00907B5B"/>
    <w:rsid w:val="00925A41"/>
    <w:rsid w:val="00946EF1"/>
    <w:rsid w:val="009508EE"/>
    <w:rsid w:val="009512E1"/>
    <w:rsid w:val="00965CE5"/>
    <w:rsid w:val="00971BC8"/>
    <w:rsid w:val="009779ED"/>
    <w:rsid w:val="00994D73"/>
    <w:rsid w:val="009B0F6F"/>
    <w:rsid w:val="009B4D89"/>
    <w:rsid w:val="009C2657"/>
    <w:rsid w:val="009D7630"/>
    <w:rsid w:val="009F601A"/>
    <w:rsid w:val="00A16B40"/>
    <w:rsid w:val="00A2265A"/>
    <w:rsid w:val="00A22AF4"/>
    <w:rsid w:val="00A307E3"/>
    <w:rsid w:val="00A458BA"/>
    <w:rsid w:val="00A462A7"/>
    <w:rsid w:val="00A77DDF"/>
    <w:rsid w:val="00A839BD"/>
    <w:rsid w:val="00A975F5"/>
    <w:rsid w:val="00AA7725"/>
    <w:rsid w:val="00AA7E22"/>
    <w:rsid w:val="00AB0CF4"/>
    <w:rsid w:val="00AD7202"/>
    <w:rsid w:val="00AD7559"/>
    <w:rsid w:val="00AF106C"/>
    <w:rsid w:val="00B175D7"/>
    <w:rsid w:val="00B21779"/>
    <w:rsid w:val="00B404F5"/>
    <w:rsid w:val="00B413BB"/>
    <w:rsid w:val="00B5188A"/>
    <w:rsid w:val="00B57BE4"/>
    <w:rsid w:val="00B663D9"/>
    <w:rsid w:val="00B82A87"/>
    <w:rsid w:val="00BB14E2"/>
    <w:rsid w:val="00BB7A27"/>
    <w:rsid w:val="00BC2C0E"/>
    <w:rsid w:val="00BD07FA"/>
    <w:rsid w:val="00C23028"/>
    <w:rsid w:val="00C37E06"/>
    <w:rsid w:val="00C50168"/>
    <w:rsid w:val="00C5433C"/>
    <w:rsid w:val="00C7105B"/>
    <w:rsid w:val="00C738DA"/>
    <w:rsid w:val="00C83C8B"/>
    <w:rsid w:val="00C95813"/>
    <w:rsid w:val="00CC0A6C"/>
    <w:rsid w:val="00CD3202"/>
    <w:rsid w:val="00CD4907"/>
    <w:rsid w:val="00CE065B"/>
    <w:rsid w:val="00CE0CA9"/>
    <w:rsid w:val="00D00F7D"/>
    <w:rsid w:val="00D2362E"/>
    <w:rsid w:val="00D37A4B"/>
    <w:rsid w:val="00D46275"/>
    <w:rsid w:val="00D56C43"/>
    <w:rsid w:val="00D7141F"/>
    <w:rsid w:val="00D80C8F"/>
    <w:rsid w:val="00DA69FE"/>
    <w:rsid w:val="00DB4C82"/>
    <w:rsid w:val="00DB5F57"/>
    <w:rsid w:val="00DC6208"/>
    <w:rsid w:val="00DF3E35"/>
    <w:rsid w:val="00DF7598"/>
    <w:rsid w:val="00DF7CF3"/>
    <w:rsid w:val="00E0297A"/>
    <w:rsid w:val="00E15A7F"/>
    <w:rsid w:val="00E22C63"/>
    <w:rsid w:val="00E24D78"/>
    <w:rsid w:val="00E26311"/>
    <w:rsid w:val="00E35B86"/>
    <w:rsid w:val="00E3655C"/>
    <w:rsid w:val="00E5522E"/>
    <w:rsid w:val="00EA12D1"/>
    <w:rsid w:val="00EA3D36"/>
    <w:rsid w:val="00EB2094"/>
    <w:rsid w:val="00EC07E8"/>
    <w:rsid w:val="00EE41C7"/>
    <w:rsid w:val="00EF045A"/>
    <w:rsid w:val="00F13734"/>
    <w:rsid w:val="00F406F1"/>
    <w:rsid w:val="00F42CC8"/>
    <w:rsid w:val="00F553B7"/>
    <w:rsid w:val="00F83528"/>
    <w:rsid w:val="00FA3FE7"/>
    <w:rsid w:val="00FC2840"/>
    <w:rsid w:val="00FC2C3F"/>
    <w:rsid w:val="00FE2125"/>
    <w:rsid w:val="0D3CE428"/>
    <w:rsid w:val="35EEB0E4"/>
    <w:rsid w:val="37D613CE"/>
    <w:rsid w:val="37FEBD8C"/>
    <w:rsid w:val="3ED6DE3D"/>
    <w:rsid w:val="3F71A17E"/>
    <w:rsid w:val="52BD2209"/>
    <w:rsid w:val="577F5B0B"/>
    <w:rsid w:val="5BB95682"/>
    <w:rsid w:val="5E5F877C"/>
    <w:rsid w:val="6FFA7788"/>
    <w:rsid w:val="71A684D3"/>
    <w:rsid w:val="7BFE1D29"/>
    <w:rsid w:val="7DBD25E1"/>
    <w:rsid w:val="7FE7FD22"/>
    <w:rsid w:val="7FFECBF0"/>
    <w:rsid w:val="877BD08D"/>
    <w:rsid w:val="8F8FE0FE"/>
    <w:rsid w:val="8FFB8796"/>
    <w:rsid w:val="A93FACCB"/>
    <w:rsid w:val="BFFDF065"/>
    <w:rsid w:val="E21DE2B9"/>
    <w:rsid w:val="EBDF2626"/>
    <w:rsid w:val="F57F360C"/>
    <w:rsid w:val="FB5391E6"/>
    <w:rsid w:val="FCD5E2E2"/>
    <w:rsid w:val="FE7E157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fr-FR" w:eastAsia="fr-FR"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7"/>
    <w:semiHidden/>
    <w:unhideWhenUsed/>
    <w:qFormat/>
    <w:uiPriority w:val="99"/>
    <w:rPr>
      <w:rFonts w:ascii="Calibri" w:hAnsi="Calibri" w:cs="Calibri" w:eastAsiaTheme="minorHAnsi"/>
      <w:lang w:eastAsia="en-US"/>
    </w:rPr>
  </w:style>
  <w:style w:type="paragraph" w:styleId="5">
    <w:name w:val="footer"/>
    <w:basedOn w:val="1"/>
    <w:link w:val="10"/>
    <w:qFormat/>
    <w:uiPriority w:val="0"/>
    <w:pPr>
      <w:tabs>
        <w:tab w:val="center" w:pos="4819"/>
        <w:tab w:val="right" w:pos="9071"/>
      </w:tabs>
    </w:pPr>
    <w:rPr>
      <w:rFonts w:ascii="New York" w:hAnsi="New York"/>
      <w:sz w:val="24"/>
    </w:rPr>
  </w:style>
  <w:style w:type="paragraph" w:styleId="6">
    <w:name w:val="header"/>
    <w:basedOn w:val="1"/>
    <w:link w:val="9"/>
    <w:qFormat/>
    <w:uiPriority w:val="0"/>
    <w:pPr>
      <w:tabs>
        <w:tab w:val="center" w:pos="4819"/>
        <w:tab w:val="right" w:pos="9071"/>
      </w:tabs>
    </w:pPr>
    <w:rPr>
      <w:rFonts w:ascii="New York" w:hAnsi="New York"/>
      <w:sz w:val="24"/>
    </w:rPr>
  </w:style>
  <w:style w:type="character" w:styleId="7">
    <w:name w:val="page number"/>
    <w:basedOn w:val="2"/>
    <w:qFormat/>
    <w:uiPriority w:val="0"/>
  </w:style>
  <w:style w:type="table" w:styleId="8">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En-tête Car"/>
    <w:basedOn w:val="2"/>
    <w:link w:val="6"/>
    <w:qFormat/>
    <w:uiPriority w:val="0"/>
    <w:rPr>
      <w:rFonts w:ascii="New York" w:hAnsi="New York" w:eastAsia="Times New Roman" w:cs="Times New Roman"/>
      <w:sz w:val="24"/>
      <w:szCs w:val="20"/>
      <w:lang w:eastAsia="fr-FR"/>
    </w:rPr>
  </w:style>
  <w:style w:type="character" w:customStyle="1" w:styleId="10">
    <w:name w:val="Pied de page Car"/>
    <w:basedOn w:val="2"/>
    <w:link w:val="5"/>
    <w:qFormat/>
    <w:uiPriority w:val="0"/>
    <w:rPr>
      <w:rFonts w:ascii="New York" w:hAnsi="New York" w:eastAsia="Times New Roman" w:cs="Times New Roman"/>
      <w:sz w:val="24"/>
      <w:szCs w:val="20"/>
      <w:lang w:eastAsia="fr-FR"/>
    </w:rPr>
  </w:style>
  <w:style w:type="paragraph" w:styleId="11">
    <w:name w:val="List Paragraph"/>
    <w:basedOn w:val="1"/>
    <w:qFormat/>
    <w:uiPriority w:val="34"/>
    <w:pPr>
      <w:ind w:left="720"/>
      <w:contextualSpacing/>
    </w:pPr>
    <w:rPr>
      <w:sz w:val="24"/>
      <w:szCs w:val="24"/>
    </w:rPr>
  </w:style>
  <w:style w:type="paragraph" w:customStyle="1" w:styleId="12">
    <w:name w:val="x_msonormal"/>
    <w:basedOn w:val="1"/>
    <w:qFormat/>
    <w:uiPriority w:val="0"/>
    <w:rPr>
      <w:rFonts w:ascii="Calibri" w:hAnsi="Calibri" w:cs="Calibri" w:eastAsiaTheme="minorHAnsi"/>
      <w:sz w:val="22"/>
      <w:szCs w:val="22"/>
    </w:rPr>
  </w:style>
  <w:style w:type="paragraph" w:customStyle="1" w:styleId="13">
    <w:name w:val="Body"/>
    <w:basedOn w:val="1"/>
    <w:qFormat/>
    <w:uiPriority w:val="99"/>
    <w:pPr>
      <w:spacing w:after="120"/>
      <w:ind w:left="283"/>
    </w:pPr>
    <w:rPr>
      <w:sz w:val="16"/>
      <w:szCs w:val="16"/>
    </w:rPr>
  </w:style>
  <w:style w:type="paragraph" w:customStyle="1" w:styleId="14">
    <w:name w:val="paragraph"/>
    <w:basedOn w:val="1"/>
    <w:qFormat/>
    <w:uiPriority w:val="0"/>
    <w:pPr>
      <w:spacing w:before="100" w:beforeAutospacing="1" w:after="100" w:afterAutospacing="1"/>
    </w:pPr>
    <w:rPr>
      <w:sz w:val="24"/>
      <w:szCs w:val="24"/>
    </w:rPr>
  </w:style>
  <w:style w:type="character" w:customStyle="1" w:styleId="15">
    <w:name w:val="normaltextrun"/>
    <w:basedOn w:val="2"/>
    <w:qFormat/>
    <w:uiPriority w:val="0"/>
  </w:style>
  <w:style w:type="character" w:customStyle="1" w:styleId="16">
    <w:name w:val="eop"/>
    <w:basedOn w:val="2"/>
    <w:qFormat/>
    <w:uiPriority w:val="0"/>
  </w:style>
  <w:style w:type="character" w:customStyle="1" w:styleId="17">
    <w:name w:val="Commentaire Car"/>
    <w:basedOn w:val="2"/>
    <w:link w:val="4"/>
    <w:semiHidden/>
    <w:qFormat/>
    <w:uiPriority w:val="99"/>
    <w:rPr>
      <w:rFonts w:ascii="Calibri" w:hAnsi="Calibri" w:cs="Calibri"/>
      <w:sz w:val="20"/>
      <w:szCs w:val="20"/>
    </w:rPr>
  </w:style>
  <w:style w:type="paragraph" w:customStyle="1" w:styleId="18">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fr-FR"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2133</Words>
  <Characters>11736</Characters>
  <Lines>97</Lines>
  <Paragraphs>27</Paragraphs>
  <TotalTime>0</TotalTime>
  <ScaleCrop>false</ScaleCrop>
  <LinksUpToDate>false</LinksUpToDate>
  <CharactersWithSpaces>13842</CharactersWithSpaces>
  <Application>WPS Office_11.1.0.11711_F1E327BC-269C-435d-A152-05C5408002CA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2024-01-15T12:05:00Z</dcterms:created>
  <dc:creator>Tadjoudine  MEMEM</dc:creator>
  <cp:lastModifiedBy>charles-gamligo</cp:lastModifiedBy>
  <cp:lastPrinted>2023-10-27T11:55:00Z</cp:lastPrinted>
  <dcterms:modified xsi:type="dcterms:W3CDTF">2024-02-19T10:19:08Z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1033-11.1.0.11711</vt:lpwstr>
  </property>
</Properties>
</file>