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pacing w:line="240" w:lineRule="auto"/>
        <w:jc w:val="both"/>
        <w:rPr>
          <w:rFonts w:hint="default" w:ascii="Times New Roman" w:hAnsi="Times New Roman" w:cs="Times New Roman"/>
          <w:b/>
          <w:bCs/>
          <w:highlight w:val="none"/>
          <w:u w:val="single"/>
        </w:rPr>
      </w:pPr>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highlight w:val="none"/>
        </w:rPr>
        <w:t xml:space="preserve">, </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Et</w:t>
      </w:r>
      <w:bookmarkStart w:id="1" w:name="_Hlk68256928"/>
      <w:bookmarkEnd w:id="1"/>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b w:val="0"/>
          <w:bCs w:val="0"/>
          <w:highlight w:val="none"/>
        </w:rPr>
        <w:t xml:space="preserve">${company.denomination} </w:t>
      </w:r>
      <w:r>
        <w:rPr>
          <w:rFonts w:hint="default" w:ascii="Times New Roman" w:hAnsi="Times New Roman" w:cs="Times New Roman"/>
          <w:b w:val="0"/>
          <w:bCs w:val="0"/>
          <w:highlight w:val="none"/>
          <w:lang w:val="en-US"/>
        </w:rPr>
        <w:t>${company.legal_status}</w:t>
      </w:r>
      <w:r>
        <w:rPr>
          <w:rFonts w:hint="default" w:ascii="Times New Roman" w:hAnsi="Times New Roman" w:cs="Times New Roman"/>
          <w:b w:val="0"/>
          <w:bCs w:val="0"/>
          <w:highlight w:val="none"/>
        </w:rPr>
        <w:t xml:space="preserve"> dont le siège social est à </w:t>
      </w:r>
      <w:r>
        <w:rPr>
          <w:rFonts w:hint="default" w:ascii="Times New Roman" w:hAnsi="Times New Roman" w:cs="Times New Roman"/>
          <w:b w:val="0"/>
          <w:bCs w:val="0"/>
          <w:highlight w:val="none"/>
          <w:lang w:val="en-US"/>
        </w:rPr>
        <w:t>${company.head_office_address}</w:t>
      </w:r>
      <w:r>
        <w:rPr>
          <w:rFonts w:hint="default" w:ascii="Times New Roman" w:hAnsi="Times New Roman" w:cs="Times New Roman"/>
          <w:b w:val="0"/>
          <w:bCs w:val="0"/>
          <w:highlight w:val="none"/>
        </w:rPr>
        <w:t xml:space="preserve">, immatriculée sous le registre du Commerce et du Crédit Mobilier de Lomé, sous le numéro </w:t>
      </w:r>
      <w:r>
        <w:rPr>
          <w:rFonts w:hint="default" w:ascii="Times New Roman" w:hAnsi="Times New Roman" w:cs="Times New Roman"/>
          <w:b w:val="0"/>
          <w:bCs w:val="0"/>
          <w:highlight w:val="none"/>
          <w:lang w:val="en-US"/>
        </w:rPr>
        <w:t>${company.rccm_number}</w:t>
      </w:r>
      <w:r>
        <w:rPr>
          <w:rFonts w:hint="default" w:ascii="Times New Roman" w:hAnsi="Times New Roman" w:cs="Times New Roman"/>
          <w:b w:val="0"/>
          <w:bCs w:val="0"/>
          <w:highlight w:val="none"/>
        </w:rPr>
        <w:t xml:space="preserve"> représenté par son responsable </w:t>
      </w:r>
      <w:r>
        <w:rPr>
          <w:rFonts w:hint="default" w:ascii="Times New Roman" w:hAnsi="Times New Roman" w:cs="Times New Roman"/>
          <w:b w:val="0"/>
          <w:bCs w:val="0"/>
          <w:highlight w:val="none"/>
          <w:shd w:val="clear" w:fill="auto"/>
        </w:rPr>
        <w:t>${verbal_trial.</w:t>
      </w:r>
      <w:r>
        <w:rPr>
          <w:rFonts w:hint="default" w:ascii="Times New Roman" w:hAnsi="Times New Roman" w:cs="Times New Roman"/>
          <w:b w:val="0"/>
          <w:bCs w:val="0"/>
          <w:highlight w:val="none"/>
          <w:shd w:val="clear" w:fill="auto"/>
          <w:lang w:val="en-US"/>
        </w:rPr>
        <w:t>civility</w:t>
      </w:r>
      <w:r>
        <w:rPr>
          <w:rFonts w:hint="default" w:ascii="Times New Roman" w:hAnsi="Times New Roman" w:cs="Times New Roman"/>
          <w:b w:val="0"/>
          <w:bCs w:val="0"/>
          <w:highlight w:val="none"/>
          <w:shd w:val="clear" w:fill="auto"/>
        </w:rPr>
        <w:t>}</w:t>
      </w:r>
      <w:r>
        <w:rPr>
          <w:rFonts w:hint="default" w:ascii="Times New Roman" w:hAnsi="Times New Roman" w:cs="Times New Roman"/>
          <w:b w:val="0"/>
          <w:bCs w:val="0"/>
          <w:highlight w:val="none"/>
          <w:shd w:val="clear" w:fill="auto"/>
          <w:lang w:val="en-US"/>
        </w:rPr>
        <w:t xml:space="preserve"> </w:t>
      </w:r>
      <w:r>
        <w:rPr>
          <w:rFonts w:hint="default" w:ascii="Times New Roman" w:hAnsi="Times New Roman" w:cs="Times New Roman"/>
          <w:b w:val="0"/>
          <w:bCs w:val="0"/>
          <w:highlight w:val="none"/>
          <w:shd w:val="clear" w:fill="auto"/>
        </w:rPr>
        <w:t>${verbal_trial.applicant_last_name} ${verbal_trial.applicant_first_name} née le ${representative_birth_date</w:t>
      </w:r>
      <w:r>
        <w:rPr>
          <w:rFonts w:hint="default" w:ascii="Times New Roman" w:hAnsi="Times New Roman" w:cs="Times New Roman"/>
          <w:b w:val="0"/>
          <w:bCs w:val="0"/>
          <w:highlight w:val="none"/>
          <w:shd w:val="clear" w:fill="auto"/>
          <w:lang w:val="en-US"/>
        </w:rPr>
        <w:t>_fr</w:t>
      </w:r>
      <w:r>
        <w:rPr>
          <w:rFonts w:hint="default" w:ascii="Times New Roman" w:hAnsi="Times New Roman" w:cs="Times New Roman"/>
          <w:b w:val="0"/>
          <w:bCs w:val="0"/>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highlight w:val="none"/>
          <w:shd w:val="clear" w:fill="auto"/>
          <w:lang w:val="en-US"/>
        </w:rPr>
        <w:t>_fr</w:t>
      </w:r>
      <w:r>
        <w:rPr>
          <w:rFonts w:hint="default" w:ascii="Times New Roman" w:hAnsi="Times New Roman" w:cs="Times New Roman"/>
          <w:b w:val="0"/>
          <w:bCs w:val="0"/>
          <w:highlight w:val="none"/>
          <w:shd w:val="clear" w:fill="auto"/>
        </w:rPr>
        <w:t>},</w:t>
      </w:r>
      <w:r>
        <w:rPr>
          <w:rFonts w:hint="default" w:ascii="Times New Roman" w:hAnsi="Times New Roman" w:cs="Times New Roman"/>
          <w:b/>
          <w:bCs/>
          <w:highlight w:val="none"/>
          <w:shd w:val="clear" w:fill="auto"/>
        </w:rPr>
        <w:t xml:space="preserve"> </w:t>
      </w:r>
      <w:r>
        <w:rPr>
          <w:rFonts w:hint="default" w:ascii="Times New Roman" w:hAnsi="Times New Roman" w:cs="Times New Roman"/>
          <w:b w:val="0"/>
          <w:bCs w:val="0"/>
          <w:highlight w:val="none"/>
          <w:shd w:val="clear" w:fill="auto"/>
        </w:rPr>
        <w:t>Tél : $</w:t>
      </w:r>
      <w:r>
        <w:rPr>
          <w:rFonts w:hint="default" w:ascii="Times New Roman" w:hAnsi="Times New Roman" w:cs="Times New Roman"/>
          <w:b w:val="0"/>
          <w:bCs w:val="0"/>
          <w:highlight w:val="none"/>
          <w:shd w:val="clear" w:fill="auto"/>
          <w:lang w:val="en-US"/>
        </w:rPr>
        <w:t>{representative_</w:t>
      </w:r>
      <w:r>
        <w:rPr>
          <w:rFonts w:hint="default" w:ascii="Times New Roman" w:hAnsi="Times New Roman" w:cs="Times New Roman"/>
          <w:b w:val="0"/>
          <w:bCs w:val="0"/>
          <w:highlight w:val="none"/>
          <w:shd w:val="clear" w:fill="auto"/>
        </w:rPr>
        <w:t>phone_number}</w:t>
      </w:r>
      <w:r>
        <w:rPr>
          <w:rFonts w:hint="default" w:ascii="Times New Roman" w:hAnsi="Times New Roman" w:cs="Times New Roman"/>
          <w:b w:val="0"/>
          <w:bCs w:val="0"/>
          <w:highlight w:val="none"/>
        </w:rPr>
        <w:t>, ayant pleins pouvoirs à l’effet des présentes,</w:t>
      </w:r>
      <w:r>
        <w:rPr>
          <w:rFonts w:hint="default" w:ascii="Times New Roman" w:hAnsi="Times New Roman" w:cs="Times New Roman"/>
          <w:b/>
          <w:bCs/>
          <w:highlight w:val="none"/>
        </w:rPr>
        <w:t xml:space="preserve"> Tél : </w:t>
      </w:r>
      <w:r>
        <w:rPr>
          <w:rFonts w:hint="default" w:ascii="Times New Roman" w:hAnsi="Times New Roman" w:cs="Times New Roman"/>
          <w:b/>
          <w:bCs/>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rPr>
          <w:rFonts w:hint="default" w:ascii="Times New Roman" w:hAnsi="Times New Roman" w:cs="Times New Roman"/>
          <w:highlight w:val="none"/>
          <w:u w:val="single"/>
        </w:rPr>
      </w:pPr>
      <w:r>
        <w:rPr>
          <w:rFonts w:hint="default" w:ascii="Times New Roman" w:hAnsi="Times New Roman" w:cs="Times New Roman"/>
          <w:highlight w:val="none"/>
          <w:u w:val="single"/>
        </w:rPr>
        <w:br w:type="page"/>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Montant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Durée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Périodicité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Taux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TAF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Frais de dossier              : ${verbal_trial.administrative_fees_percentage}  </w:t>
      </w:r>
      <w:r>
        <w:rPr>
          <w:rFonts w:hint="default" w:ascii="Times New Roman" w:hAnsi="Times New Roman" w:cs="Times New Roman"/>
          <w:b/>
          <w:sz w:val="24"/>
          <w:szCs w:val="24"/>
          <w:highlight w:val="none"/>
          <w:shd w:val="clear" w:fill="auto"/>
          <w:lang w:val="en-US"/>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d’assurance : ${verbal_trial.insurance_premium}  </w:t>
      </w:r>
      <w:r>
        <w:rPr>
          <w:rFonts w:hint="default" w:ascii="Times New Roman" w:hAnsi="Times New Roman" w:cs="Times New Roman"/>
          <w:b/>
          <w:sz w:val="24"/>
          <w:szCs w:val="24"/>
          <w:highlight w:val="none"/>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de risque (%)« Montant de la prime de risque »  </w:t>
      </w:r>
      <w:r>
        <w:rPr>
          <w:rFonts w:hint="default" w:ascii="Times New Roman" w:hAnsi="Times New Roman" w:cs="Times New Roman"/>
          <w:b/>
          <w:sz w:val="24"/>
          <w:szCs w:val="24"/>
          <w:highlight w:val="none"/>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highlight w:val="none"/>
          <w:shd w:val="clear" w:fill="auto"/>
          <w:lang w:val="en-US"/>
        </w:rPr>
        <w:tab/>
      </w:r>
      <w:r>
        <w:rPr>
          <w:rFonts w:hint="default" w:ascii="Times New Roman" w:hAnsi="Times New Roman" w:cs="Times New Roman"/>
          <w:b/>
          <w:highlight w:val="none"/>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highlight w:val="none"/>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highlight w:val="none"/>
        </w:rPr>
      </w:pPr>
      <w:r>
        <w:rPr>
          <w:rFonts w:hint="default" w:ascii="Times New Roman" w:hAnsi="Times New Roman" w:cs="Times New Roman"/>
          <w:b/>
          <w:color w:val="111111"/>
          <w:sz w:val="24"/>
          <w:szCs w:val="24"/>
          <w:highlight w:val="none"/>
          <w:shd w:val="clear" w:fill="auto"/>
        </w:rPr>
        <w:t>Date de dernière échéance :</w:t>
      </w:r>
      <w:r>
        <w:rPr>
          <w:rFonts w:hint="default" w:ascii="Times New Roman" w:hAnsi="Times New Roman" w:cs="Times New Roman"/>
          <w:b/>
          <w:color w:val="FF0000"/>
          <w:sz w:val="24"/>
          <w:szCs w:val="24"/>
          <w:highlight w:val="none"/>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${verbal_trial.due_amount} (${verbal_trial.due_amount.fr})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Ainsi le montant de l’échéance mensuelle est morcelé en paiement quotidien soit ${contract.verbal_trial.day_due_amount.fr}(${contract.verbal_trial.day_due_amount})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0,2% de l'échéance due plus un montant de 1000F forfaitaire. Il sera appliqué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de retard, étant considéré que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A la sûreté et garantie du remboursement du présent prêt, soit la somme soit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de ${value}</w:t>
      </w:r>
      <w:r>
        <w:rPr>
          <w:rFonts w:hint="default" w:ascii="Times New Roman" w:hAnsi="Times New Roman" w:cs="Times New Roman"/>
          <w:sz w:val="24"/>
          <w:szCs w:val="24"/>
          <w:highlight w:val="none"/>
          <w:lang w:val="en-US"/>
        </w:rPr>
        <w:t xml:space="preserve"> FCFA: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 w:name="Andale Mono">
    <w:panose1 w:val="020B0509000000000004"/>
    <w:charset w:val="00"/>
    <w:family w:val="auto"/>
    <w:pitch w:val="default"/>
    <w:sig w:usb0="00000287" w:usb1="00000000"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w:t>
    </w:r>
    <w:bookmarkStart w:id="10" w:name="_GoBack"/>
    <w:bookmarkEnd w:id="10"/>
    <w:r>
      <w:rPr>
        <w:rFonts w:hint="default"/>
      </w:rPr>
      <w:t>verbal_trial.committee_id}</w:t>
    </w:r>
  </w:p>
  <w:p>
    <w:pPr>
      <w:pStyle w:val="8"/>
      <w:spacing w:before="0" w:after="20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F33D107"/>
    <w:rsid w:val="3FEE4DEC"/>
    <w:rsid w:val="53DF964A"/>
    <w:rsid w:val="5F4B5793"/>
    <w:rsid w:val="613C5CEA"/>
    <w:rsid w:val="63F7535E"/>
    <w:rsid w:val="6E7C2AEA"/>
    <w:rsid w:val="7B6F5C1C"/>
    <w:rsid w:val="7B7FAD11"/>
    <w:rsid w:val="7EFFB152"/>
    <w:rsid w:val="7FFB976A"/>
    <w:rsid w:val="9BFE10F3"/>
    <w:rsid w:val="9EFB1DBC"/>
    <w:rsid w:val="AE7BF738"/>
    <w:rsid w:val="AEF3FEE5"/>
    <w:rsid w:val="BD766961"/>
    <w:rsid w:val="BFDDD6C2"/>
    <w:rsid w:val="CF9FC517"/>
    <w:rsid w:val="CFED15A6"/>
    <w:rsid w:val="D5FB14F4"/>
    <w:rsid w:val="E7AF1E2A"/>
    <w:rsid w:val="E7EAC5F3"/>
    <w:rsid w:val="EBBF6C5A"/>
    <w:rsid w:val="F3EFDE8F"/>
    <w:rsid w:val="F7F737E9"/>
    <w:rsid w:val="F7FB4CAC"/>
    <w:rsid w:val="FA55D77A"/>
    <w:rsid w:val="FAAF53E5"/>
    <w:rsid w:val="FBAF4F69"/>
    <w:rsid w:val="FBB3A364"/>
    <w:rsid w:val="FDBA9694"/>
    <w:rsid w:val="FDBFB375"/>
    <w:rsid w:val="FEF75492"/>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2024-03-12T16:42:50Z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