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>periodicity.fr}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selon la grille de l’assureur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2B395A10"/>
    <w:multiLevelType w:val="multilevel"/>
    <w:tmpl w:val="2B395A10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b w:val="0"/>
        <w:bCs w:val="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3F7B864E"/>
    <w:rsid w:val="5D7F3B6A"/>
    <w:rsid w:val="5D9B6FA6"/>
    <w:rsid w:val="65D62FA5"/>
    <w:rsid w:val="65ED28A9"/>
    <w:rsid w:val="73F7B0BB"/>
    <w:rsid w:val="74F6EA2D"/>
    <w:rsid w:val="76FF631E"/>
    <w:rsid w:val="7B7F55F5"/>
    <w:rsid w:val="7B9E33AF"/>
    <w:rsid w:val="7DFF9D87"/>
    <w:rsid w:val="7F6F5A23"/>
    <w:rsid w:val="BF353460"/>
    <w:rsid w:val="CBBBDA5D"/>
    <w:rsid w:val="D7BE99AB"/>
    <w:rsid w:val="DBA224E1"/>
    <w:rsid w:val="EFFF4E03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2024-03-12T12:13:52Z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