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ascii="Times New Roman" w:hAnsi="Times New Roman"/>
          <w:b/>
          <w:sz w:val="28"/>
          <w:szCs w:val="28"/>
          <w:bdr w:val="dashDotStroked" w:color="auto" w:sz="24" w:space="0"/>
        </w:rPr>
      </w:pPr>
      <w:r>
        <w:rPr>
          <w:rFonts w:ascii="Times New Roman" w:hAnsi="Times New Roman"/>
          <w:b/>
          <w:sz w:val="28"/>
          <w:szCs w:val="28"/>
          <w:bdr w:val="dashDotStroked" w:color="auto" w:sz="24" w:space="0"/>
        </w:rPr>
        <w:t>CONTRAT DE PRET</w:t>
      </w:r>
    </w:p>
    <w:p>
      <w:pPr>
        <w:spacing w:line="240" w:lineRule="auto"/>
        <w:jc w:val="both"/>
        <w:rPr>
          <w:rFonts w:hint="default" w:ascii="Times New Roman" w:hAnsi="Times New Roman" w:cs="Times New Roman"/>
          <w:b/>
          <w:bCs/>
          <w:highlight w:val="none"/>
          <w:u w:val="single"/>
        </w:rPr>
      </w:pPr>
    </w:p>
    <w:p>
      <w:pP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u w:val="single"/>
        </w:rPr>
        <w:t xml:space="preserve">ENTRE-LES SOUSSIGNES : </w:t>
      </w:r>
    </w:p>
    <w:p>
      <w:pPr>
        <w:jc w:val="both"/>
        <w:rPr>
          <w:rFonts w:hint="default" w:ascii="Times New Roman" w:hAnsi="Times New Roman" w:cs="Times New Roman"/>
          <w:color w:val="000000"/>
          <w:sz w:val="24"/>
          <w:szCs w:val="24"/>
          <w:highlight w:val="none"/>
        </w:rPr>
      </w:pPr>
      <w:r>
        <w:rPr>
          <w:rFonts w:hint="default" w:ascii="Times New Roman" w:hAnsi="Times New Roman" w:cs="Times New Roman"/>
          <w:b/>
          <w:color w:val="000000"/>
          <w:sz w:val="24"/>
          <w:szCs w:val="24"/>
          <w:highlight w:val="none"/>
        </w:rPr>
        <w:t>COMPAGNIE FINANCIERE AFRICAINE (COFINA) Togo SA</w:t>
      </w:r>
      <w:r>
        <w:rPr>
          <w:rFonts w:hint="default" w:ascii="Times New Roman" w:hAnsi="Times New Roman" w:cs="Times New Roman"/>
          <w:color w:val="000000"/>
          <w:sz w:val="24"/>
          <w:szCs w:val="24"/>
          <w:highlight w:val="none"/>
        </w:rPr>
        <w:t xml:space="preserve">, Société Anonyme avec Conseil d’Administration au capital de  1 500 000 000 FCFA, immatriculée au Registre du Commerce et du Crédit Mobilier du TOGO, sous le numéro initial </w:t>
      </w:r>
      <w:r>
        <w:rPr>
          <w:rFonts w:hint="default" w:ascii="Times New Roman" w:hAnsi="Times New Roman" w:cs="Times New Roman"/>
          <w:color w:val="000000"/>
          <w:sz w:val="24"/>
          <w:szCs w:val="24"/>
        </w:rPr>
        <w:t>TG-LFW-01-2025-M-12369, Agrément Numéro 36/MF/SG/CAS-IMEC et inscrite sur la liste de l’APSFD sous le numéro T/1/GFLM/2019/257A</w:t>
      </w:r>
      <w:r>
        <w:rPr>
          <w:rFonts w:hint="default" w:ascii="Times New Roman" w:hAnsi="Times New Roman" w:cs="Times New Roman"/>
          <w:color w:val="000000"/>
          <w:sz w:val="24"/>
          <w:szCs w:val="24"/>
          <w:highlight w:val="none"/>
        </w:rPr>
        <w:t>, dont le siège social est situé à LOME (TOGO</w:t>
      </w:r>
      <w:bookmarkStart w:id="0" w:name="_Hlk66259236"/>
      <w:r>
        <w:rPr>
          <w:rFonts w:hint="default" w:ascii="Times New Roman" w:hAnsi="Times New Roman" w:cs="Times New Roman"/>
          <w:color w:val="000000"/>
          <w:sz w:val="24"/>
          <w:szCs w:val="24"/>
          <w:highlight w:val="none"/>
        </w:rPr>
        <w:t>), Boulevard du 13 Janvier, Quartier Kodjoviakope, 07 BP : 7499 Lomé-TOGO</w:t>
      </w:r>
      <w:bookmarkEnd w:id="0"/>
      <w:r>
        <w:rPr>
          <w:rFonts w:hint="default" w:ascii="Times New Roman" w:hAnsi="Times New Roman" w:cs="Times New Roman"/>
          <w:color w:val="000000"/>
          <w:sz w:val="24"/>
          <w:szCs w:val="24"/>
          <w:highlight w:val="none"/>
        </w:rPr>
        <w:t xml:space="preserve">, Tel : 00 228 22 23 68 68/ 00 228 22 23 68 60, </w:t>
      </w:r>
    </w:p>
    <w:p>
      <w:pPr>
        <w:jc w:val="both"/>
        <w:rPr>
          <w:rFonts w:hint="default" w:ascii="Times New Roman" w:hAnsi="Times New Roman" w:cs="Times New Roman"/>
          <w:sz w:val="24"/>
          <w:szCs w:val="24"/>
          <w:highlight w:val="none"/>
        </w:rPr>
      </w:pPr>
      <w:r>
        <w:rPr>
          <w:rFonts w:hint="default" w:ascii="Times New Roman" w:hAnsi="Times New Roman" w:cs="Times New Roman"/>
          <w:bCs/>
          <w:iCs/>
          <w:color w:val="000000"/>
          <w:sz w:val="24"/>
          <w:szCs w:val="24"/>
          <w:highlight w:val="none"/>
        </w:rPr>
        <w:t xml:space="preserve">Représentée par </w:t>
      </w:r>
      <w:r>
        <w:rPr>
          <w:rFonts w:hint="default" w:ascii="Times New Roman" w:hAnsi="Times New Roman" w:cs="Times New Roman"/>
          <w:b/>
          <w:iCs/>
          <w:color w:val="000000"/>
          <w:sz w:val="24"/>
          <w:szCs w:val="24"/>
          <w:highlight w:val="none"/>
        </w:rPr>
        <w:t xml:space="preserve">Monsieur </w:t>
      </w:r>
      <w:r>
        <w:rPr>
          <w:rFonts w:hint="default" w:ascii="Times New Roman" w:hAnsi="Times New Roman" w:cs="Times New Roman"/>
          <w:b/>
          <w:bCs/>
          <w:iCs/>
          <w:sz w:val="24"/>
          <w:szCs w:val="24"/>
          <w:highlight w:val="none"/>
        </w:rPr>
        <w:t>Kossi Mawuli KOVE</w:t>
      </w:r>
      <w:r>
        <w:rPr>
          <w:rFonts w:hint="default" w:ascii="Times New Roman" w:hAnsi="Times New Roman" w:cs="Times New Roman"/>
          <w:bCs/>
          <w:iCs/>
          <w:color w:val="000000"/>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color w:val="000000"/>
          <w:sz w:val="24"/>
          <w:szCs w:val="24"/>
          <w:highlight w:val="none"/>
        </w:rPr>
        <w:t xml:space="preserve">, vertu d’un acte reçu par </w:t>
      </w:r>
      <w:r>
        <w:rPr>
          <w:rFonts w:hint="default" w:ascii="Times New Roman" w:hAnsi="Times New Roman" w:cs="Times New Roman"/>
          <w:bCs/>
          <w:iCs/>
          <w:color w:val="111111"/>
          <w:sz w:val="24"/>
          <w:szCs w:val="24"/>
          <w:highlight w:val="none"/>
        </w:rPr>
        <w:t>Me Afiavi S. do REGO-d’Almeida, Notaire à Lomé,</w:t>
      </w:r>
    </w:p>
    <w:p>
      <w:pPr>
        <w:ind w:right="-141"/>
        <w:jc w:val="right"/>
        <w:rPr>
          <w:rFonts w:hint="default" w:ascii="Times New Roman" w:hAnsi="Times New Roman" w:cs="Times New Roman"/>
          <w:i/>
          <w:iCs/>
          <w:sz w:val="24"/>
          <w:szCs w:val="24"/>
          <w:highlight w:val="none"/>
        </w:rPr>
      </w:pPr>
      <w:r>
        <w:rPr>
          <w:rFonts w:hint="default" w:ascii="Times New Roman" w:hAnsi="Times New Roman" w:cs="Times New Roman"/>
          <w:sz w:val="24"/>
          <w:szCs w:val="24"/>
          <w:highlight w:val="none"/>
        </w:rPr>
        <w:t xml:space="preserve">Ci-après dénommée « </w:t>
      </w:r>
      <w:r>
        <w:rPr>
          <w:rFonts w:hint="default" w:ascii="Times New Roman" w:hAnsi="Times New Roman" w:cs="Times New Roman"/>
          <w:b/>
          <w:bCs/>
          <w:sz w:val="24"/>
          <w:szCs w:val="24"/>
          <w:highlight w:val="none"/>
        </w:rPr>
        <w:t xml:space="preserve">COFINA TOGO SA », </w:t>
      </w:r>
      <w:r>
        <w:rPr>
          <w:rFonts w:hint="default" w:ascii="Times New Roman" w:hAnsi="Times New Roman" w:cs="Times New Roman"/>
          <w:b/>
          <w:bCs/>
          <w:i/>
          <w:iCs/>
          <w:sz w:val="24"/>
          <w:szCs w:val="24"/>
          <w:highlight w:val="none"/>
        </w:rPr>
        <w:t>d’une part</w:t>
      </w:r>
      <w:r>
        <w:rPr>
          <w:rFonts w:hint="default" w:ascii="Times New Roman" w:hAnsi="Times New Roman" w:cs="Times New Roman"/>
          <w:i/>
          <w:iCs/>
          <w:sz w:val="24"/>
          <w:szCs w:val="24"/>
          <w:highlight w:val="none"/>
        </w:rPr>
        <w: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Et</w:t>
      </w:r>
      <w:bookmarkStart w:id="1" w:name="_Hlk68256928"/>
      <w:bookmarkEnd w:id="1"/>
    </w:p>
    <w:p>
      <w:pPr>
        <w:ind w:right="-468"/>
        <w:jc w:val="both"/>
        <w:rPr>
          <w:rFonts w:hint="default" w:ascii="Times New Roman" w:hAnsi="Times New Roman" w:cs="Times New Roman"/>
          <w:b/>
          <w:bCs/>
          <w:sz w:val="24"/>
          <w:szCs w:val="24"/>
          <w:highlight w:val="none"/>
          <w:shd w:val="clear" w:fill="auto"/>
          <w:lang w:val="en-US"/>
        </w:rPr>
      </w:pPr>
      <w:r>
        <w:rPr>
          <w:rFonts w:hint="default" w:ascii="Times New Roman" w:hAnsi="Times New Roman" w:cs="Times New Roman"/>
          <w:b w:val="0"/>
          <w:bCs w:val="0"/>
          <w:sz w:val="24"/>
          <w:szCs w:val="24"/>
          <w:highlight w:val="none"/>
        </w:rPr>
        <w:t xml:space="preserve">${company.denomination} </w:t>
      </w:r>
      <w:r>
        <w:rPr>
          <w:rFonts w:hint="default" w:ascii="Times New Roman" w:hAnsi="Times New Roman" w:cs="Times New Roman"/>
          <w:b w:val="0"/>
          <w:bCs w:val="0"/>
          <w:sz w:val="24"/>
          <w:szCs w:val="24"/>
          <w:highlight w:val="none"/>
          <w:lang w:val="en-US"/>
        </w:rPr>
        <w:t>${company.legal_status}</w:t>
      </w:r>
      <w:r>
        <w:rPr>
          <w:rFonts w:hint="default" w:ascii="Times New Roman" w:hAnsi="Times New Roman" w:cs="Times New Roman"/>
          <w:b w:val="0"/>
          <w:bCs w:val="0"/>
          <w:sz w:val="24"/>
          <w:szCs w:val="24"/>
          <w:highlight w:val="none"/>
        </w:rPr>
        <w:t xml:space="preserve"> dont le siège social est à </w:t>
      </w:r>
      <w:r>
        <w:rPr>
          <w:rFonts w:hint="default" w:ascii="Times New Roman" w:hAnsi="Times New Roman" w:cs="Times New Roman"/>
          <w:b w:val="0"/>
          <w:bCs w:val="0"/>
          <w:sz w:val="24"/>
          <w:szCs w:val="24"/>
          <w:highlight w:val="none"/>
          <w:lang w:val="en-US"/>
        </w:rPr>
        <w:t>${company.head_office_address}</w:t>
      </w:r>
      <w:r>
        <w:rPr>
          <w:rFonts w:hint="default" w:ascii="Times New Roman" w:hAnsi="Times New Roman" w:cs="Times New Roman"/>
          <w:b w:val="0"/>
          <w:bCs w:val="0"/>
          <w:sz w:val="24"/>
          <w:szCs w:val="24"/>
          <w:highlight w:val="none"/>
        </w:rPr>
        <w:t xml:space="preserve">, immatriculée sous le registre du Commerce et du Crédit Mobilier de Lomé, sous le numéro </w:t>
      </w:r>
      <w:r>
        <w:rPr>
          <w:rFonts w:hint="default" w:ascii="Times New Roman" w:hAnsi="Times New Roman" w:cs="Times New Roman"/>
          <w:b w:val="0"/>
          <w:bCs w:val="0"/>
          <w:sz w:val="24"/>
          <w:szCs w:val="24"/>
          <w:highlight w:val="none"/>
          <w:lang w:val="en-US"/>
        </w:rPr>
        <w:t>${company.rccm_number}</w:t>
      </w:r>
      <w:r>
        <w:rPr>
          <w:rFonts w:hint="default" w:ascii="Times New Roman" w:hAnsi="Times New Roman" w:cs="Times New Roman"/>
          <w:b w:val="0"/>
          <w:bCs w:val="0"/>
          <w:sz w:val="24"/>
          <w:szCs w:val="24"/>
          <w:highlight w:val="none"/>
        </w:rPr>
        <w:t xml:space="preserve"> représenté par son responsable </w:t>
      </w:r>
      <w:r>
        <w:rPr>
          <w:rFonts w:hint="default" w:ascii="Times New Roman" w:hAnsi="Times New Roman" w:cs="Times New Roman"/>
          <w:b w:val="0"/>
          <w:bCs w:val="0"/>
          <w:sz w:val="24"/>
          <w:szCs w:val="24"/>
          <w:highlight w:val="none"/>
          <w:shd w:val="clear" w:fill="auto"/>
        </w:rPr>
        <w:t>${verbal_trial.</w:t>
      </w:r>
      <w:r>
        <w:rPr>
          <w:rFonts w:hint="default" w:ascii="Times New Roman" w:hAnsi="Times New Roman" w:cs="Times New Roman"/>
          <w:b w:val="0"/>
          <w:bCs w:val="0"/>
          <w:sz w:val="24"/>
          <w:szCs w:val="24"/>
          <w:highlight w:val="none"/>
          <w:shd w:val="clear" w:fill="auto"/>
          <w:lang w:val="en-US"/>
        </w:rPr>
        <w:t>civility</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val="0"/>
          <w:bCs w:val="0"/>
          <w:sz w:val="24"/>
          <w:szCs w:val="24"/>
          <w:highlight w:val="none"/>
          <w:shd w:val="clear" w:fill="auto"/>
          <w:lang w:val="en-US"/>
        </w:rPr>
        <w:t xml:space="preserve"> </w:t>
      </w:r>
      <w:r>
        <w:rPr>
          <w:rFonts w:hint="default" w:ascii="Times New Roman" w:hAnsi="Times New Roman" w:cs="Times New Roman"/>
          <w:b w:val="0"/>
          <w:bCs w:val="0"/>
          <w:sz w:val="24"/>
          <w:szCs w:val="24"/>
          <w:highlight w:val="none"/>
          <w:shd w:val="clear" w:fill="auto"/>
        </w:rPr>
        <w:t>${verbal_trial.applicant_last_name} ${verbal_trial.applicant_first_name} née le ${representative_birth_date</w:t>
      </w:r>
      <w:r>
        <w:rPr>
          <w:rFonts w:hint="default" w:ascii="Times New Roman" w:hAnsi="Times New Roman"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 de nationalité ${representative_nationality} domicilié à ${representative_home_address} et titulaire d’un(e) ${representative_type_of_identity_document} ${representative_number_of_identity_document}</w:t>
      </w:r>
      <w:r>
        <w:rPr>
          <w:rFonts w:hint="default" w:ascii="Times New Roman" w:hAnsi="Times New Roman" w:cs="Times New Roman"/>
          <w:b w:val="0"/>
          <w:bCs w:val="0"/>
          <w:sz w:val="24"/>
          <w:szCs w:val="24"/>
          <w:highlight w:val="none"/>
          <w:shd w:val="clear" w:fill="auto"/>
          <w:lang w:val="fr-FR"/>
        </w:rPr>
        <w:t xml:space="preserve"> </w:t>
      </w:r>
      <w:r>
        <w:rPr>
          <w:rFonts w:hint="default" w:ascii="Times New Roman" w:hAnsi="Times New Roman" w:cs="Times New Roman"/>
          <w:b w:val="0"/>
          <w:bCs w:val="0"/>
          <w:sz w:val="24"/>
          <w:szCs w:val="24"/>
          <w:highlight w:val="none"/>
          <w:shd w:val="clear" w:fill="auto"/>
        </w:rPr>
        <w:t>${representative_date_of_issue_of_identity_document</w:t>
      </w:r>
      <w:r>
        <w:rPr>
          <w:rFonts w:hint="default" w:ascii="Times New Roman" w:hAnsi="Times New Roman"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bCs/>
          <w:sz w:val="24"/>
          <w:szCs w:val="24"/>
          <w:highlight w:val="none"/>
          <w:shd w:val="clear" w:fill="auto"/>
        </w:rPr>
        <w:t xml:space="preserve"> </w:t>
      </w:r>
      <w:r>
        <w:rPr>
          <w:rFonts w:hint="default" w:ascii="Times New Roman" w:hAnsi="Times New Roman" w:cs="Times New Roman"/>
          <w:b w:val="0"/>
          <w:bCs w:val="0"/>
          <w:sz w:val="24"/>
          <w:szCs w:val="24"/>
          <w:highlight w:val="none"/>
          <w:shd w:val="clear" w:fill="auto"/>
        </w:rPr>
        <w:t>Tél : $</w:t>
      </w:r>
      <w:r>
        <w:rPr>
          <w:rFonts w:hint="default" w:ascii="Times New Roman" w:hAnsi="Times New Roman" w:cs="Times New Roman"/>
          <w:b w:val="0"/>
          <w:bCs w:val="0"/>
          <w:sz w:val="24"/>
          <w:szCs w:val="24"/>
          <w:highlight w:val="none"/>
          <w:shd w:val="clear" w:fill="auto"/>
          <w:lang w:val="en-US"/>
        </w:rPr>
        <w:t>{representative_</w:t>
      </w:r>
      <w:r>
        <w:rPr>
          <w:rFonts w:hint="default" w:ascii="Times New Roman" w:hAnsi="Times New Roman" w:cs="Times New Roman"/>
          <w:b w:val="0"/>
          <w:bCs w:val="0"/>
          <w:sz w:val="24"/>
          <w:szCs w:val="24"/>
          <w:highlight w:val="none"/>
          <w:shd w:val="clear" w:fill="auto"/>
        </w:rPr>
        <w:t>phone_number}</w:t>
      </w:r>
      <w:r>
        <w:rPr>
          <w:rFonts w:hint="default" w:ascii="Times New Roman" w:hAnsi="Times New Roman" w:cs="Times New Roman"/>
          <w:b w:val="0"/>
          <w:bCs w:val="0"/>
          <w:sz w:val="24"/>
          <w:szCs w:val="24"/>
          <w:highlight w:val="none"/>
        </w:rPr>
        <w:t>, ayant pleins pouvoirs à l’effet des présentes,</w:t>
      </w:r>
      <w:r>
        <w:rPr>
          <w:rFonts w:hint="default" w:ascii="Times New Roman" w:hAnsi="Times New Roman" w:cs="Times New Roman"/>
          <w:b/>
          <w:bCs/>
          <w:sz w:val="24"/>
          <w:szCs w:val="24"/>
          <w:highlight w:val="none"/>
        </w:rPr>
        <w:t xml:space="preserve"> Tél : </w:t>
      </w:r>
      <w:r>
        <w:rPr>
          <w:rFonts w:hint="default" w:ascii="Times New Roman" w:hAnsi="Times New Roman" w:cs="Times New Roman"/>
          <w:b/>
          <w:bCs/>
          <w:sz w:val="24"/>
          <w:szCs w:val="24"/>
          <w:highlight w:val="none"/>
          <w:lang w:val="en-US"/>
        </w:rPr>
        <w:t>${company.phone_number}</w:t>
      </w:r>
    </w:p>
    <w:p>
      <w:pPr>
        <w:spacing w:line="240" w:lineRule="auto"/>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désigné(e) « l’Emprunteur »</w:t>
      </w:r>
    </w:p>
    <w:p>
      <w:pPr>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u w:val="single"/>
        </w:rPr>
        <w:br w:type="page"/>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u w:val="single"/>
        </w:rPr>
        <w:t>IL A ETE CONVENU ET ARRETE CE QUI SUIT</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Compte courant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et l’emprunteur sont convenus dès avant ce jour que les comptes ouverts, tant au siège social que dans les agences constituent un compte courant unique produisant tous les effets légaux et usuels du compte courant et transformant toutes les opérations en simples articles de crédit et de débit, générateurs lors de la clôture, d'un solde qui fera seul apparaître une créance ou une dette exigible.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L'ouverture de plusieurs comptes constitue une distinction purement matérielle pour la clarté des écritures, ceux-ci peuvent à la convenance des parties, être supprimés à tout moment sans avis préalable.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Cette convention de compte courant constitue une condition essentielle à l'attribution des crédits qui pourraient être octroyés par COFINA, en conséquence, les garanties particulières qui pourraient être affectées à une créance quelconque entrant dans le compte courant s'appliquent au solde de ce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est autorisée à passer d'office au débit du compte courant, et sur simple avis, le montant en principal et accessoires de tous effets de commerce échus et impayés portant la signature de l'emprunteur comme signataire, accepteur, endosseur ou avaliste, lors même que ces effets auraient été négociés par des tiers et hors l'intervention de l’emprunteur.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Il est précisé que, sauf convention contraire expressément constatée par écrit, toutes opérations traitées entre l'emprunteur et COFINA seront, de plein droit, incluses dans le compte courant sus énoncé.</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De même le compte courant comprendra les créances éventuelles, telles notamment que les recours susceptibles d'être exercés par COFINA si elle s'était portée caution ou avaliste de l’Emprunteur avant la clôture du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conséquence, COFINA est dès maintenant autorisée à inscrire d'office au débit du compte de l’emprunteur toutes sommes que cette dernière pourrait lui devoir en principal, plus tous intérêts, commissions, frais et accessoires, quelles que soient l'origine et la nature desdites créances, même si la cause en était antérieure à ce jour.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Rentrent donc dans le compte courant notamment et sans que cette énonciation soit limitative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et facilités quelconques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escomptes d'effets commerciaux portant à un titre quelconque la signature de l’emprunteur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sur produits, sur marchandises ou sur créances à l'encontre de l'Administration ;</w:t>
      </w:r>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toutes cautions et avals fournis par COFINA auprès de qui que ce soit</w:t>
      </w:r>
    </w:p>
    <w:p>
      <w:pPr>
        <w:spacing w:line="240" w:lineRule="auto"/>
        <w:jc w:val="both"/>
        <w:rPr>
          <w:rFonts w:hint="default" w:ascii="Times New Roman" w:hAnsi="Times New Roman" w:cs="Times New Roman"/>
          <w:b/>
          <w:sz w:val="24"/>
          <w:szCs w:val="24"/>
          <w:highlight w:val="none"/>
        </w:rPr>
      </w:pP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Objet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Sous réserve de la réalisation des conditions préalables visées à I'article </w:t>
      </w:r>
      <w:r>
        <w:rPr>
          <w:rFonts w:hint="default" w:ascii="Times New Roman" w:hAnsi="Times New Roman" w:cs="Times New Roman"/>
          <w:sz w:val="24"/>
          <w:szCs w:val="24"/>
          <w:highlight w:val="none"/>
          <w:lang w:val="en-US"/>
        </w:rPr>
        <w:t>9</w:t>
      </w:r>
      <w:r>
        <w:rPr>
          <w:rFonts w:hint="default" w:ascii="Times New Roman" w:hAnsi="Times New Roman" w:cs="Times New Roman"/>
          <w:sz w:val="24"/>
          <w:szCs w:val="24"/>
          <w:highlight w:val="none"/>
        </w:rPr>
        <w:t xml:space="preserve"> ci-après, l’institution consent à l'Emprunteur, qui accepte et s'engage à en exécuter les termes, conditions et modalités telles que définies ci-après, </w:t>
      </w:r>
      <w:r>
        <w:rPr>
          <w:rFonts w:hint="default" w:ascii="Times New Roman" w:hAnsi="Times New Roman" w:cs="Times New Roman"/>
          <w:sz w:val="24"/>
          <w:szCs w:val="24"/>
          <w:highlight w:val="none"/>
          <w:shd w:val="clear" w:fill="auto"/>
        </w:rPr>
        <w:t>${verbal_trial.type_of_credit.name}</w:t>
      </w:r>
      <w:r>
        <w:rPr>
          <w:rFonts w:hint="default" w:ascii="Times New Roman" w:hAnsi="Times New Roman" w:cs="Times New Roman"/>
          <w:sz w:val="24"/>
          <w:szCs w:val="24"/>
          <w:highlight w:val="none"/>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3</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Durée</w:t>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 Prêt est consenti pour une durée de </w:t>
      </w:r>
      <w:bookmarkStart w:id="2" w:name="_Hlk156214331"/>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highlight w:val="none"/>
          <w:shd w:val="clear" w:fill="auto"/>
        </w:rPr>
        <w:t>d</w:t>
      </w:r>
      <w:bookmarkStart w:id="4" w:name="_Hlk68252455"/>
      <w:r>
        <w:rPr>
          <w:rFonts w:hint="default" w:ascii="Times New Roman" w:hAnsi="Times New Roman" w:cs="Times New Roman"/>
          <w:sz w:val="24"/>
          <w:szCs w:val="24"/>
          <w:highlight w:val="none"/>
          <w:shd w:val="clear" w:fill="auto"/>
        </w:rPr>
        <w:t xml:space="preserve">e ${number_of_due_dates} </w:t>
      </w:r>
      <w:bookmarkEnd w:id="3"/>
      <w:r>
        <w:rPr>
          <w:rFonts w:hint="default" w:ascii="Times New Roman" w:hAnsi="Times New Roman" w:cs="Times New Roman"/>
          <w:b/>
          <w:bCs/>
          <w:sz w:val="24"/>
          <w:szCs w:val="24"/>
          <w:highlight w:val="none"/>
          <w:shd w:val="clear" w:fill="auto"/>
        </w:rPr>
        <w:t>${verbal_trial.periodicity.fr3}</w:t>
      </w:r>
      <w:r>
        <w:rPr>
          <w:rFonts w:hint="default" w:ascii="Times New Roman" w:hAnsi="Times New Roman" w:cs="Times New Roman"/>
          <w:b/>
          <w:sz w:val="24"/>
          <w:szCs w:val="24"/>
          <w:highlight w:val="none"/>
          <w:shd w:val="clear" w:fill="auto"/>
        </w:rPr>
        <w:t xml:space="preserve">, avec </w:t>
      </w:r>
      <w:bookmarkStart w:id="5" w:name="_Hlk78957570"/>
      <w:r>
        <w:rPr>
          <w:rFonts w:hint="default" w:ascii="Times New Roman" w:hAnsi="Times New Roman" w:cs="Times New Roman"/>
          <w:b/>
          <w:sz w:val="24"/>
          <w:szCs w:val="24"/>
          <w:highlight w:val="none"/>
          <w:shd w:val="clear" w:fill="auto"/>
        </w:rPr>
        <w:t xml:space="preserve">une échéance d’un montant </w:t>
      </w:r>
      <w:bookmarkStart w:id="6" w:name="_Hlk81292668"/>
      <w:r>
        <w:rPr>
          <w:rFonts w:hint="default" w:ascii="Times New Roman" w:hAnsi="Times New Roman" w:cs="Times New Roman"/>
          <w:b/>
          <w:sz w:val="24"/>
          <w:szCs w:val="24"/>
          <w:highlight w:val="none"/>
          <w:shd w:val="clear" w:fill="auto"/>
        </w:rPr>
        <w:t xml:space="preserve">de </w:t>
      </w:r>
      <w:bookmarkEnd w:id="4"/>
      <w:bookmarkEnd w:id="5"/>
      <w:bookmarkEnd w:id="6"/>
      <w:r>
        <w:rPr>
          <w:rFonts w:hint="default" w:ascii="Times New Roman" w:hAnsi="Times New Roman" w:cs="Times New Roman"/>
          <w:b/>
          <w:sz w:val="24"/>
          <w:szCs w:val="24"/>
          <w:highlight w:val="none"/>
          <w:shd w:val="clear" w:fill="auto"/>
        </w:rPr>
        <w:t xml:space="preserve">${due_amount} (${due_amount.fr}) F CFA </w:t>
      </w:r>
      <w:bookmarkEnd w:id="2"/>
      <w:r>
        <w:rPr>
          <w:rFonts w:hint="default" w:ascii="Times New Roman" w:hAnsi="Times New Roman" w:cs="Times New Roman"/>
          <w:b/>
          <w:sz w:val="24"/>
          <w:szCs w:val="24"/>
          <w:highlight w:val="none"/>
          <w:shd w:val="clear" w:fill="auto"/>
          <w:lang w:val="en-US"/>
        </w:rPr>
        <w:t>${verbal_trial.periodicity.fr2}</w:t>
      </w:r>
      <w:r>
        <w:rPr>
          <w:rFonts w:hint="default" w:ascii="Times New Roman" w:hAnsi="Times New Roman" w:cs="Times New Roman"/>
          <w:b/>
          <w:sz w:val="24"/>
          <w:szCs w:val="24"/>
          <w:highlight w:val="none"/>
          <w:shd w:val="clear" w:fill="auto"/>
        </w:rPr>
        <w:t xml:space="preserve">. </w:t>
      </w:r>
    </w:p>
    <w:p>
      <w:pP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annexé au présent contrat, précisera le montant exact des échéances, incluant le capital et les intérêts. Ce tableau, détaillant le plan de remboursement, servira de référence définitive pour le calcul des mensualités, des intérêts et du capital restant dû pendant toute la durée du prêt.</w:t>
      </w:r>
    </w:p>
    <w:p>
      <w:pPr>
        <w:spacing w:line="240" w:lineRule="auto"/>
        <w:jc w:val="left"/>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 xml:space="preserve">La première échéance du prêt est prévue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et la dernière échéance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comme il ressort du tableau d’amortissement faisant foi joint en annexe.</w:t>
      </w:r>
    </w:p>
    <w:p>
      <w:pP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4</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Mise à disposition du Prêt – Comptabilisation</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opérations relatives au remboursement du présent prêt (intérêts et principal) seront retracées dans le compte N° </w:t>
      </w:r>
      <w:r>
        <w:rPr>
          <w:rFonts w:hint="default" w:ascii="Times New Roman" w:hAnsi="Times New Roman" w:cs="Times New Roman"/>
          <w:sz w:val="24"/>
          <w:szCs w:val="24"/>
          <w:highlight w:val="none"/>
          <w:shd w:val="clear" w:fill="auto"/>
        </w:rPr>
        <w:t>${verbal_trial.account_number}</w:t>
      </w:r>
      <w:r>
        <w:rPr>
          <w:rFonts w:hint="default" w:ascii="Times New Roman" w:hAnsi="Times New Roman" w:cs="Times New Roman"/>
          <w:b/>
          <w:sz w:val="24"/>
          <w:szCs w:val="24"/>
          <w:highlight w:val="none"/>
          <w:shd w:val="clear" w:fill="auto"/>
        </w:rPr>
        <w:t xml:space="preserve"> </w:t>
      </w:r>
      <w:r>
        <w:rPr>
          <w:rFonts w:hint="default" w:ascii="Times New Roman" w:hAnsi="Times New Roman" w:cs="Times New Roman"/>
          <w:sz w:val="24"/>
          <w:szCs w:val="24"/>
          <w:highlight w:val="none"/>
          <w:shd w:val="clear" w:fill="auto"/>
        </w:rPr>
        <w:t>d</w:t>
      </w:r>
      <w:r>
        <w:rPr>
          <w:rFonts w:hint="default" w:ascii="Times New Roman" w:hAnsi="Times New Roman" w:cs="Times New Roman"/>
          <w:sz w:val="24"/>
          <w:szCs w:val="24"/>
          <w:highlight w:val="none"/>
        </w:rPr>
        <w:t>omicilié à COFINA Togo SA.</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Destination des fonds</w:t>
      </w:r>
    </w:p>
    <w:p>
      <w:pP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.1.L’Emprunteur déclare que les fonds sont destinés à ${verbal_trial.purpose_of_financing}.</w:t>
      </w:r>
      <w:bookmarkStart w:id="7" w:name="_Hlk156214266"/>
      <w:bookmarkEnd w:id="7"/>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rPr>
        <w:t xml:space="preserve">Article </w:t>
      </w:r>
      <w:r>
        <w:rPr>
          <w:rFonts w:hint="default" w:ascii="Times New Roman" w:hAnsi="Times New Roman" w:cs="Times New Roman"/>
          <w:b/>
          <w:bCs/>
          <w:sz w:val="24"/>
          <w:szCs w:val="24"/>
          <w:highlight w:val="none"/>
          <w:lang w:val="en-US"/>
        </w:rPr>
        <w:t>6</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 xml:space="preserve">Intérêts et mode de remboursement </w:t>
      </w:r>
    </w:p>
    <w:p>
      <w:pP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.1 </w:t>
      </w:r>
      <w:r>
        <w:rPr>
          <w:rFonts w:hint="default" w:ascii="Times New Roman" w:hAnsi="Times New Roman" w:cs="Times New Roman"/>
          <w:b/>
          <w:bCs/>
          <w:sz w:val="24"/>
          <w:szCs w:val="24"/>
          <w:highlight w:val="none"/>
          <w:u w:val="single"/>
        </w:rPr>
        <w:t xml:space="preserve">Intérêts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L'Emprunteur s'oblige à payer, sur le montant en principal du Prêt non échu,</w:t>
      </w:r>
      <w:r>
        <w:rPr>
          <w:rFonts w:hint="default" w:ascii="Times New Roman" w:hAnsi="Times New Roman" w:cs="Times New Roman"/>
          <w:b/>
          <w:sz w:val="24"/>
          <w:szCs w:val="24"/>
          <w:highlight w:val="none"/>
          <w:shd w:val="clear" w:fill="auto"/>
        </w:rPr>
        <w:t xml:space="preserve"> ${total_amount_of_interest}</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 (${total_amount_of_interest.fr} F CFA),</w:t>
      </w:r>
      <w:r>
        <w:rPr>
          <w:rFonts w:hint="default" w:ascii="Times New Roman" w:hAnsi="Times New Roman" w:cs="Times New Roman"/>
          <w:sz w:val="24"/>
          <w:szCs w:val="24"/>
          <w:highlight w:val="none"/>
        </w:rPr>
        <w:t xml:space="preserve"> déterminés sur la base d'un taux fixé à ${ht_rate} % hors taxes. </w:t>
      </w:r>
    </w:p>
    <w:p>
      <w:pP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sz w:val="24"/>
          <w:szCs w:val="24"/>
          <w:highlight w:val="none"/>
        </w:rPr>
        <w:t xml:space="preserve">Les intérêts seront payables par l'Emprunteur mensuellement sur le capital échu et seront compris dans les remboursements périodiques mentionnés à l'article </w:t>
      </w: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 ci-dessous.</w:t>
      </w:r>
    </w:p>
    <w:p>
      <w:pP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.2 Mode de remboursement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Ainsi le montant de l’échéance mensuelle est morcelé en paiement quotidien soit ${day_due_amount.fr}(${day_due_amount}</w:t>
      </w:r>
      <w:r>
        <w:rPr>
          <w:rFonts w:hint="default" w:ascii="Times New Roman" w:hAnsi="Times New Roman" w:cs="Times New Roman"/>
          <w:sz w:val="24"/>
          <w:szCs w:val="24"/>
          <w:highlight w:val="none"/>
          <w:lang w:val="en-US"/>
        </w:rPr>
        <w:t xml:space="preserve"> F CFA</w:t>
      </w:r>
      <w:r>
        <w:rPr>
          <w:rFonts w:hint="default" w:ascii="Times New Roman" w:hAnsi="Times New Roman" w:cs="Times New Roman"/>
          <w:sz w:val="24"/>
          <w:szCs w:val="24"/>
          <w:highlight w:val="none"/>
        </w:rPr>
        <w:t xml:space="preserve">) (soit l’échéance mensuelle divisé par 20) », collecté par les agents accrédités de COFINA TOGO SA à cet effet, contre signature du carnet de collecte ou délivrance d’un reçu dument signé par l’agent.  </w:t>
      </w:r>
    </w:p>
    <w:p>
      <w:pPr>
        <w:tabs>
          <w:tab w:val="left" w:pos="3564"/>
        </w:tabs>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rPr>
        <w:t>Article </w:t>
      </w:r>
      <w:r>
        <w:rPr>
          <w:rFonts w:hint="default" w:ascii="Times New Roman" w:hAnsi="Times New Roman" w:cs="Times New Roman"/>
          <w:b/>
          <w:sz w:val="24"/>
          <w:szCs w:val="24"/>
          <w:highlight w:val="none"/>
          <w:lang w:val="en-US"/>
        </w:rPr>
        <w:t>7</w:t>
      </w:r>
      <w:r>
        <w:rPr>
          <w:rFonts w:hint="default" w:ascii="Times New Roman" w:hAnsi="Times New Roman" w:cs="Times New Roman"/>
          <w:b/>
          <w:sz w:val="24"/>
          <w:szCs w:val="24"/>
          <w:highlight w:val="none"/>
        </w:rPr>
        <w:t xml:space="preserve"> : </w:t>
      </w:r>
      <w:r>
        <w:rPr>
          <w:rFonts w:hint="default" w:ascii="Times New Roman" w:hAnsi="Times New Roman" w:cs="Times New Roman"/>
          <w:b/>
          <w:sz w:val="24"/>
          <w:szCs w:val="24"/>
          <w:highlight w:val="none"/>
          <w:u w:val="single"/>
        </w:rPr>
        <w:t>Principal</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.1 L'Emprunteur s'oblige à rembourser le montant en principal du prêt soit </w:t>
      </w:r>
      <w:bookmarkStart w:id="8" w:name="_Hlk72913289"/>
      <w:r>
        <w:rPr>
          <w:rFonts w:hint="default" w:ascii="Times New Roman" w:hAnsi="Times New Roman" w:cs="Times New Roman"/>
          <w:sz w:val="24"/>
          <w:szCs w:val="24"/>
          <w:highlight w:val="none"/>
        </w:rPr>
        <w:t xml:space="preserve">de </w:t>
      </w:r>
      <w:bookmarkEnd w:id="8"/>
      <w:r>
        <w:rPr>
          <w:rFonts w:hint="default" w:ascii="Times New Roman" w:hAnsi="Times New Roman" w:cs="Times New Roman"/>
          <w:sz w:val="24"/>
          <w:szCs w:val="24"/>
          <w:highlight w:val="none"/>
        </w:rPr>
        <w:t xml:space="preserve"> ${total_to_pay}</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b/>
          <w:sz w:val="24"/>
          <w:szCs w:val="24"/>
          <w:highlight w:val="none"/>
          <w:shd w:val="clear" w:fill="auto"/>
        </w:rPr>
        <w:t xml:space="preserve">F CFA, Soit ${total_to_pay.fr} F CFA </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 xml:space="preserve">comprenant la somme nécessaire à l’amortissement du capital et les intérêts au taux stipulé à l’article </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 xml:space="preserve"> ci-dessus. </w:t>
      </w:r>
    </w:p>
    <w:p>
      <w:pP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8</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Intérêts de retard</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 xml:space="preserve">.1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.2 En cas d’impayé sur ce présent crédit, les pénalités inscrites sur nos conditions de banque affichées dans nos agences seront appliquées.</w:t>
      </w:r>
      <w:bookmarkStart w:id="10" w:name="_GoBack"/>
      <w:bookmarkEnd w:id="10"/>
    </w:p>
    <w:p>
      <w:pPr>
        <w:shd w:val="clea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 xml:space="preserve">.3 Les intérêts, et ce compris les intérêts de retard, porteront eux-mêmes intérêt au taux de pénalité en vigueur s'ils sont dus pour une année entière.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9</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Garanties et conforts</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sûreté et garantie du remboursement du présent prêt, soit la somme</w:t>
      </w:r>
      <w:r>
        <w:rPr>
          <w:rFonts w:hint="default" w:ascii="Times New Roman" w:hAnsi="Times New Roman" w:cs="Times New Roman"/>
          <w:b/>
          <w:sz w:val="24"/>
          <w:szCs w:val="24"/>
          <w:highlight w:val="none"/>
          <w:shd w:val="clear" w:fill="auto"/>
        </w:rPr>
        <w:t xml:space="preserve"> Soit ${total_to_pay.fr} F CFA</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${total_to_pay}</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w:t>
      </w:r>
      <w:r>
        <w:rPr>
          <w:rFonts w:hint="default" w:ascii="Times New Roman" w:hAnsi="Times New Roman" w:cs="Times New Roman"/>
          <w:b/>
          <w:sz w:val="24"/>
          <w:szCs w:val="24"/>
          <w:highlight w:val="none"/>
          <w:shd w:val="clear" w:fill="auto"/>
          <w:lang w:val="en-US"/>
        </w:rPr>
        <w:t>)</w:t>
      </w:r>
      <w:r>
        <w:rPr>
          <w:rFonts w:hint="default" w:ascii="Times New Roman" w:hAnsi="Times New Roman" w:cs="Times New Roman"/>
          <w:b/>
          <w:sz w:val="24"/>
          <w:szCs w:val="24"/>
          <w:highlight w:val="none"/>
          <w:shd w:val="clear" w:fill="auto"/>
        </w:rPr>
        <w:t xml:space="preserve"> </w:t>
      </w:r>
      <w:r>
        <w:rPr>
          <w:rFonts w:hint="default" w:ascii="Times New Roman" w:hAnsi="Times New Roman" w:cs="Times New Roman"/>
          <w:sz w:val="24"/>
          <w:szCs w:val="24"/>
          <w:highlight w:val="none"/>
          <w:shd w:val="clear" w:fill="auto"/>
        </w:rPr>
        <w:t xml:space="preserve">soit le montant du crédit + </w:t>
      </w:r>
      <w:r>
        <w:rPr>
          <w:rFonts w:hint="default" w:ascii="Times New Roman" w:hAnsi="Times New Roman" w:cs="Times New Roman"/>
          <w:b/>
          <w:sz w:val="24"/>
          <w:szCs w:val="24"/>
          <w:highlight w:val="none"/>
          <w:shd w:val="clear" w:fill="auto"/>
        </w:rPr>
        <w:t>${total_amount_of_interest} (${total_amount_of_interest.fr}),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2"/>
        </w:num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 ${comment}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 ou par tous tiers.</w:t>
      </w:r>
    </w:p>
    <w:p>
      <w:pP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 xml:space="preserve">Article </w:t>
      </w:r>
      <w:r>
        <w:rPr>
          <w:rFonts w:hint="default" w:ascii="Times New Roman" w:hAnsi="Times New Roman" w:cs="Times New Roman"/>
          <w:b/>
          <w:bCs/>
          <w:sz w:val="24"/>
          <w:szCs w:val="24"/>
          <w:highlight w:val="none"/>
          <w:lang w:val="en-US"/>
        </w:rPr>
        <w:t>10</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Externalisation du recouvrement</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En cas de difficulté de recouvrement du montant dû par l'emprunteur, l’Institution se réserve le droit de confier, en tout ou en partie, la gestion du dossier à un prestataire spécialisé dans le recouvrement de créances. Cette sous-traitance pourra intervenir sans préjudice des droits de l'emprunteur et sera effectuée conformément à la législation en vigueur.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L'emprunteur autorise L’institution à communiquer à ce prestataire toutes les informations nécessaires à la gestion du recouvrement, y compris ses coordonnées et les détails du crédit, conformément aux règles de confidentialité et protection des données personnelles. </w:t>
      </w:r>
    </w:p>
    <w:p>
      <w:pPr>
        <w:tabs>
          <w:tab w:val="left" w:pos="3660"/>
        </w:tabs>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11</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Exigibilité anticipée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les sommes dues par le Client à l’institution au titre du présent contrat seront exigibles par anticipation, immédiatement et de plein droit en cas de :</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Situation du Client irrémédiablement compromise ou comportement gravement répréhensible, ainsi que tous les cas où la loi le permet.</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décès du Client,</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exclusion par l’institution Centrale de la signature du Client,</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affectation du prêt à un objet autre que celui visé à l'article 1 des présentes,</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si les garanties énumérées à l’article « Garanties », dont l’institution doit bénéficier pour sûreté du présent prêt n’étaient  pas constituées ou maintenues ou si les garanties ne venaient pas au rang convenu,</w:t>
      </w:r>
    </w:p>
    <w:p>
      <w:pPr>
        <w:spacing w:before="0" w:after="0" w:line="240" w:lineRule="auto"/>
        <w:ind w:left="720"/>
        <w:jc w:val="both"/>
        <w:rPr>
          <w:rFonts w:hint="default" w:ascii="Times New Roman" w:hAnsi="Times New Roman" w:cs="Times New Roman"/>
          <w:sz w:val="24"/>
          <w:szCs w:val="24"/>
          <w:highlight w:val="none"/>
        </w:rPr>
      </w:pP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non réalisation à première demande de l’institution des promesses de garanties dont il est fait état à l’article « Garanties »,</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au cas où plus généralement le Client n'exécuterait pas l'une quelconque de ses obligations résultant du présent contrat et s’il n’y était pas remédié.</w:t>
      </w:r>
    </w:p>
    <w:p>
      <w:pPr>
        <w:spacing w:line="240" w:lineRule="auto"/>
        <w:jc w:val="both"/>
        <w:rPr>
          <w:rFonts w:hint="default" w:ascii="Times New Roman" w:hAnsi="Times New Roman" w:cs="Times New Roman"/>
          <w:b/>
          <w:sz w:val="24"/>
          <w:szCs w:val="24"/>
          <w:highlight w:val="none"/>
        </w:rPr>
      </w:pP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Cession</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L’institution pourra céder ses droits et obligations en vertu du présent contrat de Prêt.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En cas de survenance d’une telle éventualité, l’institution s’engage à ce que la cession n’entraine aucun coût supplémentaire pour l’Emprunteur. </w:t>
      </w:r>
    </w:p>
    <w:p>
      <w:pP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Article 1</w:t>
      </w:r>
      <w:r>
        <w:rPr>
          <w:rFonts w:hint="default" w:ascii="Times New Roman" w:hAnsi="Times New Roman" w:cs="Times New Roman"/>
          <w:b/>
          <w:bCs/>
          <w:sz w:val="24"/>
          <w:szCs w:val="24"/>
          <w:highlight w:val="none"/>
          <w:lang w:val="en-US"/>
        </w:rPr>
        <w:t>3</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Report d’échéance</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demande de l’emprunteur et au regard de sa situation financière, l’institution peut consentir un report d’échéance sans que cela ne donne lieu à une modification ou un avenant au présent contrat.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L’emprunteur sera informé par une notification écrite des conditions d’approbation du report d'échéance des paiements dus en vertu du présent contrat. Cette notification comportera, le cas échéant, la nouvelle date d'échéance ainsi que les modalités mises à jour concernant les montants dus, les intérêts, et les frais afférents au report. L’emprunteur devra, après réception de la notification de report, la signer afin de confirmer son acceptation des nouvelles conditions.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À la suite du report d'échéance, un nouveau tableau d'amortissement sera établi, tenant compte de l'extension des délais et des ajustements nécessaires au calcul des intérêts ou autres charges appliquées. Ce tableau, incluant les nouvelles échéances et montants, sera communiqué au client a la suite de la mise en place du report.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 client devra, après réception du tableau d'amortissement mis à jour, le signer. La signature de l’emprunteur constitue une preuve d'accord sur les modifications apportées au calendrier de paiement et aux conditions financières du contrat, résultant du report d'échéance.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4</w:t>
      </w:r>
      <w:r>
        <w:rPr>
          <w:rFonts w:hint="default" w:ascii="Times New Roman" w:hAnsi="Times New Roman" w:cs="Times New Roman"/>
          <w:b/>
          <w:sz w:val="24"/>
          <w:szCs w:val="24"/>
          <w:highlight w:val="none"/>
        </w:rPr>
        <w:t>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Impôts et frais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impôts ou taxes quelconques présents et à venir sur le principal ou les intérêts des sommes qui pourront être dues par le client seront à sa charge, y compris ceux dont l’institution sera légalement redevable.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 xml:space="preserve">Divers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.1 En aucun cas, l'Emprunteur ne pourra opposer à l’institution, dans le cadre de la présente Convention, des réclamations ou des exceptions quelles qu'elles soient, tirées de toute autre convention la liant avec elle.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pacing w:line="240" w:lineRule="auto"/>
        <w:jc w:val="both"/>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.3 Tous préavis, avis, accords ou communications relatifs aux présentes devront être envoyés en langue française par courrier recommandé ou transmis par porteur avec cahier de transmission, ou par télécopie suivie d'une confirmation courrier.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 </w:t>
      </w:r>
    </w:p>
    <w:p>
      <w:pPr>
        <w:spacing w:line="240" w:lineRule="auto"/>
        <w:jc w:val="both"/>
        <w:rPr>
          <w:rFonts w:hint="default" w:ascii="Times New Roman" w:hAnsi="Times New Roman" w:cs="Times New Roman"/>
          <w:sz w:val="24"/>
          <w:szCs w:val="24"/>
          <w:highlight w:val="none"/>
        </w:rPr>
      </w:pP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6</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Droit applicable et attribution de compétence</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16</w:t>
      </w:r>
      <w:r>
        <w:rPr>
          <w:rFonts w:hint="default" w:ascii="Times New Roman" w:hAnsi="Times New Roman" w:cs="Times New Roman"/>
          <w:sz w:val="24"/>
          <w:szCs w:val="24"/>
          <w:highlight w:val="none"/>
        </w:rPr>
        <w:t>.1 Le Contrat est régi par le droit Togolais.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.2 Tout litige qui pourrait naître de l’interprétation et/ou de l’exécution du Contrat, qui n’aura pas été réglé à l’amiable, sera de la compétence des juridictions Togolaises.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Fait à Lomé, le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En Trois (03) exemplaires </w:t>
      </w:r>
    </w:p>
    <w:p>
      <w:pPr>
        <w:jc w:val="center"/>
        <w:rPr>
          <w:rFonts w:hint="default" w:ascii="Times New Roman" w:hAnsi="Times New Roman" w:cs="Times New Roman"/>
          <w:b/>
          <w:sz w:val="24"/>
          <w:szCs w:val="24"/>
          <w:highlight w:val="none"/>
        </w:rPr>
      </w:pP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jc w:val="center"/>
        <w:rPr>
          <w:rFonts w:hint="default" w:ascii="Times New Roman" w:hAnsi="Times New Roman" w:cs="Times New Roman"/>
          <w:b/>
          <w:sz w:val="24"/>
          <w:szCs w:val="24"/>
          <w:highlight w:val="none"/>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ab/>
      </w:r>
      <w:r>
        <w:rPr>
          <w:rFonts w:hint="default" w:ascii="Times New Roman" w:hAnsi="Times New Roman" w:cs="Times New Roman"/>
          <w:b/>
          <w:bCs/>
          <w:iCs/>
          <w:sz w:val="24"/>
          <w:szCs w:val="24"/>
          <w:lang w:val="en-US"/>
        </w:rPr>
        <w:tab/>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ab/>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rPr>
        <w:t>Responsable juridique</w:t>
      </w:r>
    </w:p>
    <w:p>
      <w:pPr>
        <w:rPr>
          <w:rFonts w:hint="default" w:ascii="Times New Roman" w:hAnsi="Times New Roman" w:cs="Times New Roman"/>
          <w:b/>
          <w:sz w:val="24"/>
          <w:szCs w:val="24"/>
          <w:highlight w:val="none"/>
        </w:rPr>
      </w:pPr>
    </w:p>
    <w:p>
      <w:pPr>
        <w:rPr>
          <w:rFonts w:hint="default" w:ascii="Times New Roman" w:hAnsi="Times New Roman" w:cs="Times New Roman"/>
          <w:b/>
          <w:sz w:val="24"/>
          <w:szCs w:val="24"/>
          <w:highlight w:val="none"/>
        </w:rPr>
      </w:pPr>
    </w:p>
    <w:p>
      <w:pPr>
        <w:rPr>
          <w:rFonts w:hint="default" w:ascii="Times New Roman" w:hAnsi="Times New Roman" w:cs="Times New Roman"/>
          <w:b/>
          <w:bCs/>
          <w:iCs/>
          <w:sz w:val="24"/>
          <w:szCs w:val="24"/>
          <w:highlight w:val="none"/>
        </w:rPr>
      </w:pPr>
      <w:r>
        <w:rPr>
          <w:rFonts w:hint="default" w:ascii="Times New Roman" w:hAnsi="Times New Roman" w:cs="Times New Roman"/>
          <w:bCs/>
          <w:iCs/>
          <w:sz w:val="24"/>
          <w:szCs w:val="24"/>
          <w:highlight w:val="none"/>
        </w:rPr>
        <w:t xml:space="preserve">                                   </w:t>
      </w:r>
    </w:p>
    <w:p>
      <w:pPr>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highlight w:val="none"/>
          <w:shd w:val="clear" w:fill="auto"/>
        </w:rPr>
        <w:t xml:space="preserve">Pour le Client </w:t>
      </w:r>
    </w:p>
    <w:p>
      <w:pPr>
        <w:jc w:val="center"/>
        <w:rPr>
          <w:rFonts w:hint="default" w:ascii="Times New Roman" w:hAnsi="Times New Roman" w:cs="Times New Roman"/>
          <w:b/>
          <w:bCs/>
          <w:sz w:val="24"/>
          <w:szCs w:val="24"/>
          <w:highlight w:val="none"/>
          <w:lang w:val="en-US"/>
        </w:rPr>
      </w:pPr>
      <w:bookmarkStart w:id="9" w:name="_Hlk156213304"/>
      <w:r>
        <w:rPr>
          <w:rFonts w:hint="default" w:ascii="Times New Roman" w:hAnsi="Times New Roman" w:cs="Times New Roman"/>
          <w:b/>
          <w:sz w:val="24"/>
          <w:szCs w:val="24"/>
          <w:highlight w:val="none"/>
          <w:lang w:val="en-US"/>
        </w:rPr>
        <w:t>${company.denomination}</w:t>
      </w:r>
    </w:p>
    <w:bookmarkEnd w:id="9"/>
    <w:p>
      <w:pPr>
        <w:jc w:val="center"/>
        <w:rPr>
          <w:rFonts w:hint="default" w:ascii="Times New Roman" w:hAnsi="Times New Roman" w:cs="Times New Roman"/>
          <w:b/>
          <w:sz w:val="24"/>
          <w:szCs w:val="24"/>
          <w:highlight w:val="none"/>
        </w:rPr>
      </w:pPr>
    </w:p>
    <w:p>
      <w:pPr>
        <w:jc w:val="center"/>
        <w:rPr>
          <w:rFonts w:hint="default" w:ascii="Times New Roman" w:hAnsi="Times New Roman" w:cs="Times New Roman"/>
          <w:b/>
          <w:bCs w:val="0"/>
          <w:sz w:val="24"/>
          <w:szCs w:val="24"/>
          <w:highlight w:val="none"/>
        </w:rPr>
      </w:pPr>
    </w:p>
    <w:p>
      <w:pPr>
        <w:spacing w:before="0" w:after="200"/>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highlight w:val="none"/>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Borders>
        <w:top w:val="none" w:sz="0" w:space="0"/>
        <w:left w:val="none" w:sz="0" w:space="0"/>
        <w:bottom w:val="none" w:sz="0" w:space="0"/>
        <w:right w:val="none" w:sz="0" w:space="0"/>
      </w:pgBorders>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altName w:val="DejaVu Sans"/>
    <w:panose1 w:val="020B0604030504040204"/>
    <w:charset w:val="01"/>
    <w:family w:val="roman"/>
    <w:pitch w:val="default"/>
    <w:sig w:usb0="00000000" w:usb1="00000000" w:usb2="00000008" w:usb3="00000000" w:csb0="20000057" w:csb1="00080000"/>
  </w:font>
  <w:font w:name="DejaVu Sans">
    <w:panose1 w:val="020B0603030804020204"/>
    <w:charset w:val="00"/>
    <w:family w:val="auto"/>
    <w:pitch w:val="default"/>
    <w:sig w:usb0="E7006EFF" w:usb1="D200FDFF" w:usb2="0A246029" w:usb3="0400200C" w:csb0="600001FF" w:csb1="DFFF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rPr>
        <w:rFonts w:ascii="Times New Roman" w:hAnsi="Times New Roman"/>
        <w:b/>
        <w:highlight w:val="none"/>
      </w:rPr>
    </w:pPr>
    <w:r>
      <w:rPr>
        <w:sz w:val="16"/>
        <w:szCs w:val="16"/>
        <w:highlight w:val="none"/>
      </w:rPr>
      <w:t>CONTRAT DE CREDIT COFINA –</w:t>
    </w:r>
    <w:r>
      <w:rPr>
        <w:rFonts w:ascii="Times New Roman" w:hAnsi="Times New Roman"/>
        <w:b/>
        <w:highlight w:val="none"/>
      </w:rPr>
      <w:t xml:space="preserve"> </w:t>
    </w:r>
    <w:r>
      <w:rPr>
        <w:rFonts w:hint="default" w:ascii="Times New Roman" w:hAnsi="Times New Roman"/>
        <w:b/>
        <w:highlight w:val="none"/>
      </w:rPr>
      <w:t>${company.denomination}</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3"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XMdIb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wOkJAK8BAACA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pPr>
    <w:r>
      <w:rPr>
        <w:rFonts w:hint="default"/>
      </w:rPr>
      <w:t>N°${verbal_trial.committee_id}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FBC127"/>
    <w:multiLevelType w:val="multilevel"/>
    <w:tmpl w:val="9FFBC127"/>
    <w:lvl w:ilvl="0" w:tentative="0">
      <w:start w:val="1"/>
      <w:numFmt w:val="bullet"/>
      <w:lvlText w:val=""/>
      <w:lvlJc w:val="left"/>
      <w:pPr>
        <w:tabs>
          <w:tab w:val="left" w:pos="720"/>
        </w:tabs>
        <w:ind w:left="720" w:hanging="360"/>
      </w:pPr>
      <w:rPr>
        <w:rFonts w:hint="default" w:ascii="Symbol" w:hAnsi="Symbol" w:cs="Symbol"/>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abstractNum w:abstractNumId="1">
    <w:nsid w:val="CDEAFEFF"/>
    <w:multiLevelType w:val="multilevel"/>
    <w:tmpl w:val="CDEAFEF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2">
    <w:nsid w:val="4C4E0D44"/>
    <w:multiLevelType w:val="multilevel"/>
    <w:tmpl w:val="4C4E0D44"/>
    <w:lvl w:ilvl="0" w:tentative="0">
      <w:start w:val="1"/>
      <w:numFmt w:val="bullet"/>
      <w:lvlText w:val=""/>
      <w:lvlJc w:val="left"/>
      <w:pPr>
        <w:tabs>
          <w:tab w:val="left" w:pos="2345"/>
        </w:tabs>
        <w:ind w:left="2345" w:hanging="360"/>
      </w:pPr>
      <w:rPr>
        <w:rFonts w:hint="default" w:ascii="Wingdings" w:hAnsi="Wingdings"/>
      </w:rPr>
    </w:lvl>
    <w:lvl w:ilvl="1" w:tentative="0">
      <w:start w:val="1"/>
      <w:numFmt w:val="bullet"/>
      <w:lvlText w:val="o"/>
      <w:lvlJc w:val="left"/>
      <w:pPr>
        <w:tabs>
          <w:tab w:val="left" w:pos="3065"/>
        </w:tabs>
        <w:ind w:left="3065" w:hanging="360"/>
      </w:pPr>
      <w:rPr>
        <w:rFonts w:hint="default" w:ascii="Courier New" w:hAnsi="Courier New" w:cs="Courier New"/>
      </w:rPr>
    </w:lvl>
    <w:lvl w:ilvl="2" w:tentative="0">
      <w:start w:val="1"/>
      <w:numFmt w:val="bullet"/>
      <w:lvlText w:val=""/>
      <w:lvlJc w:val="left"/>
      <w:pPr>
        <w:tabs>
          <w:tab w:val="left" w:pos="3785"/>
        </w:tabs>
        <w:ind w:left="3785" w:hanging="360"/>
      </w:pPr>
      <w:rPr>
        <w:rFonts w:hint="default" w:ascii="Wingdings" w:hAnsi="Wingdings"/>
      </w:rPr>
    </w:lvl>
    <w:lvl w:ilvl="3" w:tentative="0">
      <w:start w:val="1"/>
      <w:numFmt w:val="bullet"/>
      <w:lvlText w:val=""/>
      <w:lvlJc w:val="left"/>
      <w:pPr>
        <w:tabs>
          <w:tab w:val="left" w:pos="4505"/>
        </w:tabs>
        <w:ind w:left="4505" w:hanging="360"/>
      </w:pPr>
      <w:rPr>
        <w:rFonts w:hint="default" w:ascii="Symbol" w:hAnsi="Symbol"/>
      </w:rPr>
    </w:lvl>
    <w:lvl w:ilvl="4" w:tentative="0">
      <w:start w:val="1"/>
      <w:numFmt w:val="bullet"/>
      <w:lvlText w:val="o"/>
      <w:lvlJc w:val="left"/>
      <w:pPr>
        <w:tabs>
          <w:tab w:val="left" w:pos="5225"/>
        </w:tabs>
        <w:ind w:left="5225" w:hanging="360"/>
      </w:pPr>
      <w:rPr>
        <w:rFonts w:hint="default" w:ascii="Courier New" w:hAnsi="Courier New" w:cs="Courier New"/>
      </w:rPr>
    </w:lvl>
    <w:lvl w:ilvl="5" w:tentative="0">
      <w:start w:val="1"/>
      <w:numFmt w:val="bullet"/>
      <w:lvlText w:val=""/>
      <w:lvlJc w:val="left"/>
      <w:pPr>
        <w:tabs>
          <w:tab w:val="left" w:pos="5945"/>
        </w:tabs>
        <w:ind w:left="5945" w:hanging="360"/>
      </w:pPr>
      <w:rPr>
        <w:rFonts w:hint="default" w:ascii="Wingdings" w:hAnsi="Wingdings"/>
      </w:rPr>
    </w:lvl>
    <w:lvl w:ilvl="6" w:tentative="0">
      <w:start w:val="1"/>
      <w:numFmt w:val="bullet"/>
      <w:lvlText w:val=""/>
      <w:lvlJc w:val="left"/>
      <w:pPr>
        <w:tabs>
          <w:tab w:val="left" w:pos="6665"/>
        </w:tabs>
        <w:ind w:left="6665" w:hanging="360"/>
      </w:pPr>
      <w:rPr>
        <w:rFonts w:hint="default" w:ascii="Symbol" w:hAnsi="Symbol"/>
      </w:rPr>
    </w:lvl>
    <w:lvl w:ilvl="7" w:tentative="0">
      <w:start w:val="1"/>
      <w:numFmt w:val="bullet"/>
      <w:lvlText w:val="o"/>
      <w:lvlJc w:val="left"/>
      <w:pPr>
        <w:tabs>
          <w:tab w:val="left" w:pos="7385"/>
        </w:tabs>
        <w:ind w:left="7385" w:hanging="360"/>
      </w:pPr>
      <w:rPr>
        <w:rFonts w:hint="default" w:ascii="Courier New" w:hAnsi="Courier New" w:cs="Courier New"/>
      </w:rPr>
    </w:lvl>
    <w:lvl w:ilvl="8" w:tentative="0">
      <w:start w:val="1"/>
      <w:numFmt w:val="bullet"/>
      <w:lvlText w:val=""/>
      <w:lvlJc w:val="left"/>
      <w:pPr>
        <w:tabs>
          <w:tab w:val="left" w:pos="8105"/>
        </w:tabs>
        <w:ind w:left="8105" w:hanging="360"/>
      </w:pPr>
      <w:rPr>
        <w:rFonts w:hint="default" w:ascii="Wingdings" w:hAnsi="Wingdings"/>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documentProtection w:enforcement="0"/>
  <w:defaultTabStop w:val="708"/>
  <w:autoHyphenation/>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47BB914"/>
    <w:rsid w:val="1973F31C"/>
    <w:rsid w:val="1ABF6593"/>
    <w:rsid w:val="1FB2C1BD"/>
    <w:rsid w:val="1FDB046A"/>
    <w:rsid w:val="275380D8"/>
    <w:rsid w:val="2DDFBC87"/>
    <w:rsid w:val="30DD53FD"/>
    <w:rsid w:val="39FA04C4"/>
    <w:rsid w:val="3F33D107"/>
    <w:rsid w:val="3FEE4DEC"/>
    <w:rsid w:val="44647091"/>
    <w:rsid w:val="4DE5DE0B"/>
    <w:rsid w:val="53DF964A"/>
    <w:rsid w:val="55EE49DA"/>
    <w:rsid w:val="573CB4F2"/>
    <w:rsid w:val="5BFF754C"/>
    <w:rsid w:val="5DFF336E"/>
    <w:rsid w:val="5EF54878"/>
    <w:rsid w:val="5F4B5793"/>
    <w:rsid w:val="5F79FBB8"/>
    <w:rsid w:val="613C5CEA"/>
    <w:rsid w:val="63F7535E"/>
    <w:rsid w:val="667F1D2D"/>
    <w:rsid w:val="67FF0DA4"/>
    <w:rsid w:val="6D3F0546"/>
    <w:rsid w:val="6E7C2AEA"/>
    <w:rsid w:val="6F75E4AA"/>
    <w:rsid w:val="6F7B2517"/>
    <w:rsid w:val="6F7EA89A"/>
    <w:rsid w:val="735B2F08"/>
    <w:rsid w:val="73B58C75"/>
    <w:rsid w:val="75EFE144"/>
    <w:rsid w:val="76B70BC6"/>
    <w:rsid w:val="777F8C52"/>
    <w:rsid w:val="77D40AD8"/>
    <w:rsid w:val="7A8FD646"/>
    <w:rsid w:val="7B6F5C1C"/>
    <w:rsid w:val="7B7FAD11"/>
    <w:rsid w:val="7CEFA60F"/>
    <w:rsid w:val="7D77A87C"/>
    <w:rsid w:val="7DF7DFB5"/>
    <w:rsid w:val="7DFD9FFC"/>
    <w:rsid w:val="7EBFA969"/>
    <w:rsid w:val="7EEF3748"/>
    <w:rsid w:val="7EFFB152"/>
    <w:rsid w:val="7FD9B923"/>
    <w:rsid w:val="7FFB976A"/>
    <w:rsid w:val="7FFBD813"/>
    <w:rsid w:val="9BFE10F3"/>
    <w:rsid w:val="9DDDEE40"/>
    <w:rsid w:val="9EBAAA17"/>
    <w:rsid w:val="9EFB1DBC"/>
    <w:rsid w:val="9FEF47E2"/>
    <w:rsid w:val="A56FBF80"/>
    <w:rsid w:val="A7FF5956"/>
    <w:rsid w:val="ABF7465E"/>
    <w:rsid w:val="AE7AEC25"/>
    <w:rsid w:val="AE7BF738"/>
    <w:rsid w:val="AEF3FEE5"/>
    <w:rsid w:val="AFFF9780"/>
    <w:rsid w:val="BA3B578F"/>
    <w:rsid w:val="BD766961"/>
    <w:rsid w:val="BDFFD108"/>
    <w:rsid w:val="BE728728"/>
    <w:rsid w:val="BFDDD6C2"/>
    <w:rsid w:val="BFFF6F53"/>
    <w:rsid w:val="CF9FC517"/>
    <w:rsid w:val="CFED15A6"/>
    <w:rsid w:val="D5FB14F4"/>
    <w:rsid w:val="DDEB25EA"/>
    <w:rsid w:val="DFFF678F"/>
    <w:rsid w:val="E3B9D2AE"/>
    <w:rsid w:val="E5AB6668"/>
    <w:rsid w:val="E7AF1E2A"/>
    <w:rsid w:val="E7EAC5F3"/>
    <w:rsid w:val="EB795490"/>
    <w:rsid w:val="EBBF6C5A"/>
    <w:rsid w:val="EBFF8C0D"/>
    <w:rsid w:val="ED2F72E3"/>
    <w:rsid w:val="EFC94195"/>
    <w:rsid w:val="EFF7C58E"/>
    <w:rsid w:val="EFFEA964"/>
    <w:rsid w:val="F3EFDE8F"/>
    <w:rsid w:val="F7EF7D90"/>
    <w:rsid w:val="F7EF881A"/>
    <w:rsid w:val="F7F737E9"/>
    <w:rsid w:val="F7FB4CAC"/>
    <w:rsid w:val="F7FC344C"/>
    <w:rsid w:val="FA55D77A"/>
    <w:rsid w:val="FA5FED05"/>
    <w:rsid w:val="FAAF53E5"/>
    <w:rsid w:val="FBAF4F69"/>
    <w:rsid w:val="FBB3A364"/>
    <w:rsid w:val="FBEF99BE"/>
    <w:rsid w:val="FCBDEFAE"/>
    <w:rsid w:val="FDBA9694"/>
    <w:rsid w:val="FDBFB375"/>
    <w:rsid w:val="FDEE88C8"/>
    <w:rsid w:val="FEE7E934"/>
    <w:rsid w:val="FEEF726A"/>
    <w:rsid w:val="FEF75492"/>
    <w:rsid w:val="FF4DA749"/>
    <w:rsid w:val="FF643FE4"/>
    <w:rsid w:val="FF6F7FE2"/>
    <w:rsid w:val="FFC355DD"/>
    <w:rsid w:val="FFEF63D1"/>
    <w:rsid w:val="FFF76532"/>
    <w:rsid w:val="FFFF92C9"/>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Numbering Symbols"/>
    <w:qFormat/>
    <w:uiPriority w:val="0"/>
  </w:style>
  <w:style w:type="paragraph" w:customStyle="1" w:styleId="14">
    <w:name w:val="Heading"/>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5">
    <w:name w:val="Index"/>
    <w:basedOn w:val="1"/>
    <w:qFormat/>
    <w:uiPriority w:val="0"/>
    <w:pPr>
      <w:suppressLineNumbers/>
    </w:pPr>
    <w:rPr>
      <w:rFonts w:cs="Noto Sans Devanagari"/>
    </w:rPr>
  </w:style>
  <w:style w:type="paragraph" w:customStyle="1" w:styleId="16">
    <w:name w:val="caption1"/>
    <w:basedOn w:val="1"/>
    <w:next w:val="1"/>
    <w:qFormat/>
    <w:uiPriority w:val="0"/>
    <w:pPr>
      <w:suppressLineNumbers/>
      <w:spacing w:before="120" w:after="120"/>
    </w:pPr>
    <w:rPr>
      <w:rFonts w:cs="Noto Sans Devanagari"/>
      <w:i/>
      <w:iCs/>
      <w:sz w:val="24"/>
      <w:szCs w:val="24"/>
    </w:rPr>
  </w:style>
  <w:style w:type="paragraph" w:customStyle="1" w:styleId="17">
    <w:name w:val="Header and Footer"/>
    <w:basedOn w:val="1"/>
    <w:qFormat/>
    <w:uiPriority w:val="0"/>
  </w:style>
  <w:style w:type="paragraph" w:customStyle="1" w:styleId="18">
    <w:name w:val="msolistparagraph"/>
    <w:basedOn w:val="1"/>
    <w:qFormat/>
    <w:uiPriority w:val="0"/>
    <w:pPr>
      <w:spacing w:before="0" w:after="200"/>
      <w:ind w:left="720"/>
      <w:contextualSpacing/>
    </w:pPr>
  </w:style>
  <w:style w:type="paragraph" w:customStyle="1" w:styleId="19">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0">
    <w:name w:val="List Paragraph"/>
    <w:basedOn w:val="1"/>
    <w:qFormat/>
    <w:uiPriority w:val="34"/>
    <w:pPr>
      <w:spacing w:before="0" w:after="200"/>
      <w:ind w:left="720"/>
      <w:contextualSpacing/>
    </w:pPr>
    <w:rPr>
      <w:rFonts w:ascii="Calibri" w:hAnsi="Calibri" w:eastAsia="Calibri" w:cs="Times New Roman"/>
    </w:rPr>
  </w:style>
  <w:style w:type="paragraph" w:customStyle="1" w:styleId="21">
    <w:name w:val="Frame Contents"/>
    <w:basedOn w:val="1"/>
    <w:qFormat/>
    <w:uiPriority w:val="0"/>
  </w:style>
  <w:style w:type="paragraph" w:customStyle="1" w:styleId="22">
    <w:name w:val="Table Contents"/>
    <w:basedOn w:val="1"/>
    <w:qFormat/>
    <w:uiPriority w:val="0"/>
    <w:pPr>
      <w:widowControl w:val="0"/>
      <w:suppressLineNumbers/>
    </w:pPr>
  </w:style>
  <w:style w:type="paragraph" w:customStyle="1" w:styleId="23">
    <w:name w:val="Table Heading"/>
    <w:basedOn w:val="22"/>
    <w:qFormat/>
    <w:uiPriority w:val="0"/>
    <w:pPr>
      <w:suppressLineNumbers/>
      <w:jc w:val="center"/>
    </w:pPr>
    <w:rPr>
      <w:b/>
      <w:bCs/>
    </w:rPr>
  </w:style>
  <w:style w:type="paragraph" w:customStyle="1" w:styleId="24">
    <w:name w:val="Preformatted Text"/>
    <w:basedOn w:val="1"/>
    <w:qFormat/>
    <w:uiPriority w:val="0"/>
    <w:pPr>
      <w:spacing w:before="0" w:after="0"/>
    </w:pPr>
    <w:rPr>
      <w:rFonts w:ascii="Liberation Mono" w:hAnsi="Liberation Mono" w:eastAsia="Noto Sans Mono CJK SC" w:cs="Liberation Mono"/>
      <w:sz w:val="2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1676</Words>
  <Characters>9635</Characters>
  <Paragraphs>95</Paragraphs>
  <TotalTime>0</TotalTime>
  <ScaleCrop>false</ScaleCrop>
  <LinksUpToDate>false</LinksUpToDate>
  <CharactersWithSpaces>11951</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2026-03-30T10:28:19Z</dcterms:modified>
  <dc:title>CONTRAT DE PRET</dc:title>
  <cp:revision>53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_NewReviewCycle">
    <vt:lpwstr/>
  </property>
</Properties>
</file>