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sz w:val="24"/>
          <w:szCs w:val="24"/>
          <w:highlight w:val="none"/>
          <w:shd w:val="clear"/>
          <w:lang w:val="fr-FR"/>
        </w:rPr>
        <w:t xml:space="preserve"> </w:t>
      </w:r>
      <w:r>
        <w:rPr>
          <w:rFonts w:hint="default" w:ascii="Times New Roman" w:hAnsi="Times New Roman" w:cs="Times New Roman"/>
          <w:sz w:val="24"/>
          <w:szCs w:val="24"/>
          <w:highlight w:val="none"/>
          <w:shd w:val="clear"/>
        </w:rPr>
        <w:t>${representative_date_of_issue_of_identity_document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bookmarkStart w:id="10" w:name="_GoBack"/>
      <w:bookmarkEnd w:id="10"/>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En cas d’impayé sur ce présent crédit, les pénalités inscrites sur nos conditions de banque affichées dans nos agences seront appliquées.</w:t>
      </w:r>
      <w:r>
        <w:rPr>
          <w:rFonts w:hint="default" w:ascii="Times New Roman" w:hAnsi="Times New Roman" w:cs="Times New Roman"/>
          <w:sz w:val="24"/>
          <w:szCs w:val="24"/>
          <w:lang w:val="fr-FR"/>
        </w:rPr>
        <w:tab/>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r>
        <w:rPr>
          <w:rFonts w:ascii="Times New Roman" w:hAnsi="Times New Roman"/>
          <w:b/>
          <w:bCs/>
          <w:sz w:val="24"/>
          <w:szCs w:val="24"/>
        </w:rPr>
        <w:t xml:space="preserve">Article 10 : </w:t>
      </w:r>
      <w:r>
        <w:rPr>
          <w:rFonts w:ascii="Times New Roman" w:hAnsi="Times New Roman"/>
          <w:b/>
          <w:bCs/>
          <w:sz w:val="24"/>
          <w:szCs w:val="24"/>
          <w:u w:val="single"/>
        </w:rPr>
        <w:t>Externalisation du recouvrement</w:t>
      </w:r>
    </w:p>
    <w:p>
      <w:pPr>
        <w:spacing w:line="240" w:lineRule="auto"/>
        <w:jc w:val="both"/>
        <w:rPr>
          <w:rFonts w:ascii="Times New Roman" w:hAnsi="Times New Roman"/>
          <w:sz w:val="24"/>
          <w:szCs w:val="24"/>
        </w:rPr>
      </w:pPr>
      <w:r>
        <w:rPr>
          <w:rFonts w:ascii="Times New Roman" w:hAnsi="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sz w:val="24"/>
          <w:szCs w:val="24"/>
        </w:rPr>
      </w:pPr>
      <w:r>
        <w:rPr>
          <w:rFonts w:ascii="Times New Roman" w:hAnsi="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ascii="Times New Roman" w:hAnsi="Times New Roman"/>
          <w:sz w:val="24"/>
          <w:szCs w:val="24"/>
        </w:rPr>
      </w:pPr>
      <w:r>
        <w:rPr>
          <w:rFonts w:ascii="Times New Roman" w:hAnsi="Times New Roman"/>
          <w:b/>
          <w:sz w:val="24"/>
          <w:szCs w:val="24"/>
        </w:rPr>
        <w:t>Article 11</w:t>
      </w:r>
      <w:r>
        <w:rPr>
          <w:rFonts w:ascii="Times New Roman" w:hAnsi="Times New Roman"/>
          <w:sz w:val="24"/>
          <w:szCs w:val="24"/>
        </w:rPr>
        <w:t xml:space="preserve"> : </w:t>
      </w:r>
      <w:r>
        <w:rPr>
          <w:rFonts w:ascii="Times New Roman" w:hAnsi="Times New Roman"/>
          <w:b/>
          <w:bCs/>
          <w:sz w:val="24"/>
          <w:szCs w:val="24"/>
          <w:u w:val="single"/>
        </w:rPr>
        <w:t>Exigibilité anticipée</w:t>
      </w:r>
    </w:p>
    <w:p>
      <w:pPr>
        <w:spacing w:line="240" w:lineRule="auto"/>
        <w:jc w:val="both"/>
        <w:rPr>
          <w:rFonts w:ascii="Times New Roman" w:hAnsi="Times New Roman"/>
          <w:sz w:val="24"/>
          <w:szCs w:val="24"/>
        </w:rPr>
      </w:pPr>
      <w:r>
        <w:rPr>
          <w:rFonts w:ascii="Times New Roman" w:hAnsi="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décès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exclusion par l’institution Centrale de la signature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affectation du prêt à un objet autre que celui visé à l'article 1 des présentes,</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ascii="Times New Roman" w:hAnsi="Times New Roman"/>
          <w:sz w:val="24"/>
          <w:szCs w:val="24"/>
        </w:rPr>
      </w:pP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57E2252"/>
    <w:rsid w:val="37BCFB5A"/>
    <w:rsid w:val="3ADD65B9"/>
    <w:rsid w:val="3BBB595C"/>
    <w:rsid w:val="3D9F867A"/>
    <w:rsid w:val="3E6F7610"/>
    <w:rsid w:val="3EBBC457"/>
    <w:rsid w:val="3F8FB92D"/>
    <w:rsid w:val="3FEE4DEC"/>
    <w:rsid w:val="47FD08C0"/>
    <w:rsid w:val="49E63CF9"/>
    <w:rsid w:val="4F3F4729"/>
    <w:rsid w:val="4FEEEDF7"/>
    <w:rsid w:val="51F64081"/>
    <w:rsid w:val="53DF964A"/>
    <w:rsid w:val="55EFB2CF"/>
    <w:rsid w:val="56FFC5D3"/>
    <w:rsid w:val="57B19AE0"/>
    <w:rsid w:val="57FF3174"/>
    <w:rsid w:val="5A73A617"/>
    <w:rsid w:val="5BFFDE66"/>
    <w:rsid w:val="5C87D7F5"/>
    <w:rsid w:val="5D3BE83C"/>
    <w:rsid w:val="5DEA4E6B"/>
    <w:rsid w:val="5E4F3233"/>
    <w:rsid w:val="5F4B5793"/>
    <w:rsid w:val="613C5CEA"/>
    <w:rsid w:val="63F7535E"/>
    <w:rsid w:val="67FE9A6D"/>
    <w:rsid w:val="6BFA45E6"/>
    <w:rsid w:val="6E7C2AEA"/>
    <w:rsid w:val="6ED6DCBE"/>
    <w:rsid w:val="6FCA27F5"/>
    <w:rsid w:val="6FFF13F1"/>
    <w:rsid w:val="727F7ED5"/>
    <w:rsid w:val="72F65C42"/>
    <w:rsid w:val="7516DC02"/>
    <w:rsid w:val="76FF4360"/>
    <w:rsid w:val="7793F19E"/>
    <w:rsid w:val="77AD8F82"/>
    <w:rsid w:val="77CBB64D"/>
    <w:rsid w:val="77CF8020"/>
    <w:rsid w:val="78BA7978"/>
    <w:rsid w:val="7ADD242E"/>
    <w:rsid w:val="7B7A5222"/>
    <w:rsid w:val="7B7FAD11"/>
    <w:rsid w:val="7BFFE25A"/>
    <w:rsid w:val="7CF90BB8"/>
    <w:rsid w:val="7D0F43B0"/>
    <w:rsid w:val="7D92DE82"/>
    <w:rsid w:val="7D969DDA"/>
    <w:rsid w:val="7E5F7983"/>
    <w:rsid w:val="7EF9FC19"/>
    <w:rsid w:val="7EFFB152"/>
    <w:rsid w:val="7F3F8EB3"/>
    <w:rsid w:val="7F7F3A55"/>
    <w:rsid w:val="7F9DB5AB"/>
    <w:rsid w:val="7F9F29B1"/>
    <w:rsid w:val="7FBF57B1"/>
    <w:rsid w:val="7FCFF497"/>
    <w:rsid w:val="7FDE5A60"/>
    <w:rsid w:val="7FF6613D"/>
    <w:rsid w:val="7FFB976A"/>
    <w:rsid w:val="7FFD4CA0"/>
    <w:rsid w:val="7FFEDB71"/>
    <w:rsid w:val="7FFF1B11"/>
    <w:rsid w:val="8CF71905"/>
    <w:rsid w:val="9BFE10F3"/>
    <w:rsid w:val="9EFB1DBC"/>
    <w:rsid w:val="A7FEE587"/>
    <w:rsid w:val="AE7BF738"/>
    <w:rsid w:val="AEF3FEE5"/>
    <w:rsid w:val="AFAB385F"/>
    <w:rsid w:val="B7E7A5E8"/>
    <w:rsid w:val="B98FE0AE"/>
    <w:rsid w:val="BB6E49FC"/>
    <w:rsid w:val="BE3757CC"/>
    <w:rsid w:val="BFAF390D"/>
    <w:rsid w:val="BFBABCE1"/>
    <w:rsid w:val="BFCD41FC"/>
    <w:rsid w:val="BFDDD6C2"/>
    <w:rsid w:val="BFE394D2"/>
    <w:rsid w:val="CF6F679A"/>
    <w:rsid w:val="CF9FC517"/>
    <w:rsid w:val="CFED15A6"/>
    <w:rsid w:val="D6FEF6B9"/>
    <w:rsid w:val="D7372429"/>
    <w:rsid w:val="DCD7AC53"/>
    <w:rsid w:val="DDB34037"/>
    <w:rsid w:val="DFDA34CC"/>
    <w:rsid w:val="E7EAC5F3"/>
    <w:rsid w:val="E9FD47E3"/>
    <w:rsid w:val="EBBF6C5A"/>
    <w:rsid w:val="EC3F17AA"/>
    <w:rsid w:val="EDBB45C8"/>
    <w:rsid w:val="EEBDEA66"/>
    <w:rsid w:val="EF2C194A"/>
    <w:rsid w:val="EFE37952"/>
    <w:rsid w:val="EFEE923B"/>
    <w:rsid w:val="EFF61FA7"/>
    <w:rsid w:val="EFF7598A"/>
    <w:rsid w:val="F3EFDE8F"/>
    <w:rsid w:val="F3FF2B7E"/>
    <w:rsid w:val="F5E7F3CE"/>
    <w:rsid w:val="F76F19B2"/>
    <w:rsid w:val="F7CF7613"/>
    <w:rsid w:val="F7F737E9"/>
    <w:rsid w:val="F97F986B"/>
    <w:rsid w:val="F9C7291D"/>
    <w:rsid w:val="FA55D77A"/>
    <w:rsid w:val="FB973334"/>
    <w:rsid w:val="FBB3A364"/>
    <w:rsid w:val="FCFB19F4"/>
    <w:rsid w:val="FDA4EB88"/>
    <w:rsid w:val="FDBA9694"/>
    <w:rsid w:val="FDBFB375"/>
    <w:rsid w:val="FDDB36BD"/>
    <w:rsid w:val="FDEB49A0"/>
    <w:rsid w:val="FDFF3ACE"/>
    <w:rsid w:val="FE4BC2C7"/>
    <w:rsid w:val="FEDDBE2E"/>
    <w:rsid w:val="FF4DA749"/>
    <w:rsid w:val="FF643FE4"/>
    <w:rsid w:val="FF79108E"/>
    <w:rsid w:val="FFC355DD"/>
    <w:rsid w:val="FFCAF70F"/>
    <w:rsid w:val="FFEE9057"/>
    <w:rsid w:val="FFEF63D1"/>
    <w:rsid w:val="FFFF0982"/>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2026-03-30T10:28:22Z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