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w:t>
      </w:r>
      <w:r>
        <w:rPr>
          <w:rFonts w:hint="default" w:cs="Times New Roman"/>
          <w:b/>
          <w:sz w:val="24"/>
          <w:szCs w:val="24"/>
          <w:highlight w:val="none"/>
          <w:lang w:val="en-US"/>
        </w:rPr>
        <w:t xml:space="preserve">        </w:t>
      </w:r>
      <w:r>
        <w:rPr>
          <w:rFonts w:hint="default" w:ascii="Times New Roman" w:hAnsi="Times New Roman" w:cs="Times New Roman"/>
          <w:b/>
          <w:sz w:val="24"/>
          <w:szCs w:val="24"/>
          <w:highlight w:val="none"/>
        </w:rPr>
        <w:t>: « selon la grille de l’assureur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${type_of_guarantee.name} </w:t>
      </w:r>
      <w:bookmarkStart w:id="6" w:name="_GoBack"/>
      <w:bookmarkEnd w:id="6"/>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4"/>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3"/>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3"/>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3"/>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3">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2"/>
  </w:num>
  <w:num w:numId="3">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ED6DE3D"/>
    <w:rsid w:val="577F5B0B"/>
    <w:rsid w:val="5BB95682"/>
    <w:rsid w:val="5E5F877C"/>
    <w:rsid w:val="62BFB7EF"/>
    <w:rsid w:val="6B9EDD2D"/>
    <w:rsid w:val="719E89A1"/>
    <w:rsid w:val="7BFB0165"/>
    <w:rsid w:val="7BFE1D29"/>
    <w:rsid w:val="7CFFC237"/>
    <w:rsid w:val="7D7D03CB"/>
    <w:rsid w:val="7DBD25E1"/>
    <w:rsid w:val="7DEFBA7B"/>
    <w:rsid w:val="7F8E0C67"/>
    <w:rsid w:val="7FE7FD22"/>
    <w:rsid w:val="877BD08D"/>
    <w:rsid w:val="8F8FE0FE"/>
    <w:rsid w:val="A93FACCB"/>
    <w:rsid w:val="B1F33CFA"/>
    <w:rsid w:val="B7FC3E33"/>
    <w:rsid w:val="B8FF4918"/>
    <w:rsid w:val="BFFDF065"/>
    <w:rsid w:val="D5D6EADB"/>
    <w:rsid w:val="DA8C7162"/>
    <w:rsid w:val="DAF0D398"/>
    <w:rsid w:val="E70DB5B3"/>
    <w:rsid w:val="EBDF2626"/>
    <w:rsid w:val="EDF9562A"/>
    <w:rsid w:val="EDFF932F"/>
    <w:rsid w:val="EE3DF164"/>
    <w:rsid w:val="EF7FD5DD"/>
    <w:rsid w:val="F3FF27EB"/>
    <w:rsid w:val="F57F360C"/>
    <w:rsid w:val="FB5391E6"/>
    <w:rsid w:val="FE7E157E"/>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2024-07-03T13:19:58Z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