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b/>
          <w:sz w:val="28"/>
          <w:szCs w:val="28"/>
          <w:bdr w:val="dashDotStroked" w:color="auto" w:sz="24" w:space="0"/>
        </w:rPr>
      </w:pPr>
      <w:r>
        <w:rPr>
          <w:rFonts w:ascii="Times New Roman" w:hAnsi="Times New Roman"/>
          <w:b/>
          <w:sz w:val="28"/>
          <w:szCs w:val="28"/>
          <w:bdr w:val="dashDotStroked" w:color="auto" w:sz="24" w:space="0"/>
        </w:rPr>
        <w:t>CONTRAT DE PRET</w:t>
      </w:r>
    </w:p>
    <w:p>
      <w:pPr>
        <w:spacing w:line="240" w:lineRule="auto"/>
        <w:jc w:val="both"/>
        <w:rPr>
          <w:rFonts w:hint="default" w:ascii="Times New Roman" w:hAnsi="Times New Roman" w:cs="Times New Roman"/>
          <w:b/>
          <w:bCs/>
          <w:highlight w:val="none"/>
          <w:u w:val="single"/>
        </w:rPr>
      </w:pP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u w:val="single"/>
        </w:rPr>
        <w:t xml:space="preserve">ENTRE-LES SOUSSIGNES : </w:t>
      </w:r>
    </w:p>
    <w:p>
      <w:pPr>
        <w:jc w:val="both"/>
        <w:rPr>
          <w:rFonts w:hint="default" w:ascii="Times New Roman" w:hAnsi="Times New Roman" w:cs="Times New Roman"/>
          <w:color w:val="000000"/>
          <w:sz w:val="24"/>
          <w:szCs w:val="24"/>
          <w:highlight w:val="none"/>
        </w:rPr>
      </w:pPr>
      <w:r>
        <w:rPr>
          <w:rFonts w:hint="default" w:ascii="Times New Roman" w:hAnsi="Times New Roman" w:cs="Times New Roman"/>
          <w:b/>
          <w:color w:val="000000"/>
          <w:sz w:val="24"/>
          <w:szCs w:val="24"/>
          <w:highlight w:val="none"/>
        </w:rPr>
        <w:t>COMPAGNIE FINANCIERE AFRICAINE (COFINA) Togo SA</w:t>
      </w:r>
      <w:r>
        <w:rPr>
          <w:rFonts w:hint="default" w:ascii="Times New Roman" w:hAnsi="Times New Roman" w:cs="Times New Roman"/>
          <w:color w:val="000000"/>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color w:val="000000"/>
          <w:sz w:val="24"/>
          <w:szCs w:val="24"/>
          <w:highlight w:val="none"/>
        </w:rPr>
        <w:t>, dont le siège social est situé à LOME (TOGO</w:t>
      </w:r>
      <w:bookmarkStart w:id="0" w:name="_Hlk66259236"/>
      <w:r>
        <w:rPr>
          <w:rFonts w:hint="default" w:ascii="Times New Roman" w:hAnsi="Times New Roman" w:cs="Times New Roman"/>
          <w:color w:val="000000"/>
          <w:sz w:val="24"/>
          <w:szCs w:val="24"/>
          <w:highlight w:val="none"/>
        </w:rPr>
        <w:t>), Boulevard du 13 Janvier, Quartier Kodjoviakope, 07 BP : 7499 Lomé-TOGO</w:t>
      </w:r>
      <w:bookmarkEnd w:id="0"/>
      <w:r>
        <w:rPr>
          <w:rFonts w:hint="default" w:ascii="Times New Roman" w:hAnsi="Times New Roman" w:cs="Times New Roman"/>
          <w:color w:val="000000"/>
          <w:sz w:val="24"/>
          <w:szCs w:val="24"/>
          <w:highlight w:val="none"/>
        </w:rPr>
        <w:t xml:space="preserve">, Tel : 00 228 22 23 68 68/ 00 228 22 23 68 60, </w:t>
      </w:r>
    </w:p>
    <w:p>
      <w:pPr>
        <w:jc w:val="both"/>
        <w:rPr>
          <w:rFonts w:hint="default" w:ascii="Times New Roman" w:hAnsi="Times New Roman" w:cs="Times New Roman"/>
          <w:sz w:val="24"/>
          <w:szCs w:val="24"/>
          <w:highlight w:val="none"/>
        </w:rPr>
      </w:pPr>
      <w:r>
        <w:rPr>
          <w:rFonts w:hint="default" w:ascii="Times New Roman" w:hAnsi="Times New Roman" w:cs="Times New Roman"/>
          <w:bCs/>
          <w:iCs/>
          <w:color w:val="000000"/>
          <w:sz w:val="24"/>
          <w:szCs w:val="24"/>
          <w:highlight w:val="none"/>
        </w:rPr>
        <w:t xml:space="preserve">Représentée par </w:t>
      </w:r>
      <w:r>
        <w:rPr>
          <w:rFonts w:hint="default" w:ascii="Times New Roman" w:hAnsi="Times New Roman" w:cs="Times New Roman"/>
          <w:b/>
          <w:iCs/>
          <w:color w:val="000000"/>
          <w:sz w:val="24"/>
          <w:szCs w:val="24"/>
          <w:highlight w:val="none"/>
        </w:rPr>
        <w:t xml:space="preserve">Monsieur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color w:val="000000"/>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highlight w:val="none"/>
        </w:rPr>
        <w:t xml:space="preserve">, vertu d’un acte reçu par </w:t>
      </w:r>
      <w:r>
        <w:rPr>
          <w:rFonts w:hint="default" w:ascii="Times New Roman" w:hAnsi="Times New Roman" w:cs="Times New Roman"/>
          <w:bCs/>
          <w:iCs/>
          <w:color w:val="111111"/>
          <w:sz w:val="24"/>
          <w:szCs w:val="24"/>
          <w:highlight w:val="none"/>
        </w:rPr>
        <w:t>Me Afiavi S. do REGO-d’Almeida, Notaire à Lomé,</w:t>
      </w:r>
    </w:p>
    <w:p>
      <w:pPr>
        <w:ind w:right="-141"/>
        <w:jc w:val="right"/>
        <w:rPr>
          <w:rFonts w:hint="default" w:ascii="Times New Roman" w:hAnsi="Times New Roman" w:cs="Times New Roman"/>
          <w:i/>
          <w:iCs/>
          <w:sz w:val="24"/>
          <w:szCs w:val="24"/>
          <w:highlight w:val="none"/>
        </w:rPr>
      </w:pPr>
      <w:r>
        <w:rPr>
          <w:rFonts w:hint="default" w:ascii="Times New Roman" w:hAnsi="Times New Roman" w:cs="Times New Roman"/>
          <w:sz w:val="24"/>
          <w:szCs w:val="24"/>
          <w:highlight w:val="none"/>
        </w:rPr>
        <w:t xml:space="preserve">Ci-après dénommée « </w:t>
      </w:r>
      <w:r>
        <w:rPr>
          <w:rFonts w:hint="default" w:ascii="Times New Roman" w:hAnsi="Times New Roman" w:cs="Times New Roman"/>
          <w:b/>
          <w:bCs/>
          <w:sz w:val="24"/>
          <w:szCs w:val="24"/>
          <w:highlight w:val="none"/>
        </w:rPr>
        <w:t xml:space="preserve">COFINA TOGO SA », </w:t>
      </w:r>
      <w:r>
        <w:rPr>
          <w:rFonts w:hint="default" w:ascii="Times New Roman" w:hAnsi="Times New Roman" w:cs="Times New Roman"/>
          <w:b/>
          <w:bCs/>
          <w:i/>
          <w:iCs/>
          <w:sz w:val="24"/>
          <w:szCs w:val="24"/>
          <w:highlight w:val="none"/>
        </w:rPr>
        <w:t>d’une part</w:t>
      </w:r>
      <w:r>
        <w:rPr>
          <w:rFonts w:hint="default" w:ascii="Times New Roman" w:hAnsi="Times New Roman" w:cs="Times New Roman"/>
          <w:i/>
          <w:iCs/>
          <w:sz w:val="24"/>
          <w:szCs w:val="24"/>
          <w:highlight w:val="none"/>
        </w:rPr>
        <w: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Et</w:t>
      </w:r>
      <w:bookmarkStart w:id="1" w:name="_Hlk68256928"/>
      <w:bookmarkEnd w:id="1"/>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w:t>
      </w:r>
      <w:r>
        <w:rPr>
          <w:rFonts w:hint="default" w:ascii="Times New Roman" w:hAnsi="Times New Roman" w:cs="Times New Roman"/>
          <w:b w:val="0"/>
          <w:bCs w:val="0"/>
          <w:sz w:val="24"/>
          <w:szCs w:val="24"/>
          <w:highlight w:val="none"/>
          <w:shd w:val="clear" w:fill="auto"/>
          <w:lang w:val="fr-FR"/>
        </w:rPr>
        <w:t xml:space="preserve"> </w:t>
      </w:r>
      <w:bookmarkStart w:id="10" w:name="_GoBack"/>
      <w:bookmarkEnd w:id="10"/>
      <w:r>
        <w:rPr>
          <w:rFonts w:hint="default" w:ascii="Times New Roman" w:hAnsi="Times New Roman" w:cs="Times New Roman"/>
          <w:b w:val="0"/>
          <w:bCs w:val="0"/>
          <w:sz w:val="24"/>
          <w:szCs w:val="24"/>
          <w:highlight w:val="none"/>
          <w:shd w:val="clear" w:fill="auto"/>
        </w:rPr>
        <w:t>${representative_date_of_issue_of_identity_document</w:t>
      </w:r>
      <w:r>
        <w:rPr>
          <w:rFonts w:hint="default" w:ascii="Times New Roman" w:hAnsi="Times New Roman"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spacing w:line="240" w:lineRule="auto"/>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Sous réserve de la réalisation des conditions préalables visées à I'article </w:t>
      </w:r>
      <w:r>
        <w:rPr>
          <w:rFonts w:hint="default" w:ascii="Times New Roman" w:hAnsi="Times New Roman" w:cs="Times New Roman"/>
          <w:sz w:val="24"/>
          <w:szCs w:val="24"/>
          <w:highlight w:val="none"/>
          <w:lang w:val="en-US"/>
        </w:rPr>
        <w:t>9</w:t>
      </w:r>
      <w:r>
        <w:rPr>
          <w:rFonts w:hint="default" w:ascii="Times New Roman" w:hAnsi="Times New Roman" w:cs="Times New Roman"/>
          <w:sz w:val="24"/>
          <w:szCs w:val="24"/>
          <w:highlight w:val="none"/>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highlight w:val="none"/>
          <w:shd w:val="clear" w:fill="auto"/>
        </w:rPr>
        <w:t>${verbal_trial.type_of_credit.name}</w:t>
      </w:r>
      <w:r>
        <w:rPr>
          <w:rFonts w:hint="default" w:ascii="Times New Roman" w:hAnsi="Times New Roman" w:cs="Times New Roman"/>
          <w:sz w:val="24"/>
          <w:szCs w:val="24"/>
          <w:highlight w:val="none"/>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3</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 Prêt est consenti pour une durée de </w:t>
      </w:r>
      <w:bookmarkStart w:id="2" w:name="_Hlk156214331"/>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highlight w:val="none"/>
          <w:shd w:val="clear" w:fill="auto"/>
        </w:rPr>
        <w:t>d</w:t>
      </w:r>
      <w:bookmarkStart w:id="4" w:name="_Hlk68252455"/>
      <w:r>
        <w:rPr>
          <w:rFonts w:hint="default" w:ascii="Times New Roman" w:hAnsi="Times New Roman" w:cs="Times New Roman"/>
          <w:sz w:val="24"/>
          <w:szCs w:val="24"/>
          <w:highlight w:val="none"/>
          <w:shd w:val="clear" w:fill="auto"/>
        </w:rPr>
        <w:t xml:space="preserve">e ${number_of_due_dates} </w:t>
      </w:r>
      <w:bookmarkEnd w:id="3"/>
      <w:r>
        <w:rPr>
          <w:rFonts w:hint="default" w:ascii="Times New Roman" w:hAnsi="Times New Roman" w:cs="Times New Roman"/>
          <w:b/>
          <w:bCs/>
          <w:sz w:val="24"/>
          <w:szCs w:val="24"/>
          <w:highlight w:val="none"/>
          <w:shd w:val="clear" w:fill="auto"/>
        </w:rPr>
        <w:t>${verbal_trial.periodicity.fr3}</w:t>
      </w:r>
      <w:r>
        <w:rPr>
          <w:rFonts w:hint="default" w:ascii="Times New Roman" w:hAnsi="Times New Roman" w:cs="Times New Roman"/>
          <w:b/>
          <w:sz w:val="24"/>
          <w:szCs w:val="24"/>
          <w:highlight w:val="none"/>
          <w:shd w:val="clear" w:fill="auto"/>
        </w:rPr>
        <w:t xml:space="preserve">, avec </w:t>
      </w:r>
      <w:bookmarkStart w:id="5" w:name="_Hlk78957570"/>
      <w:r>
        <w:rPr>
          <w:rFonts w:hint="default" w:ascii="Times New Roman" w:hAnsi="Times New Roman" w:cs="Times New Roman"/>
          <w:b/>
          <w:sz w:val="24"/>
          <w:szCs w:val="24"/>
          <w:highlight w:val="none"/>
          <w:shd w:val="clear" w:fill="auto"/>
        </w:rPr>
        <w:t xml:space="preserve">une échéance d’un montant </w:t>
      </w:r>
      <w:bookmarkStart w:id="6" w:name="_Hlk81292668"/>
      <w:r>
        <w:rPr>
          <w:rFonts w:hint="default" w:ascii="Times New Roman" w:hAnsi="Times New Roman" w:cs="Times New Roman"/>
          <w:b/>
          <w:sz w:val="24"/>
          <w:szCs w:val="24"/>
          <w:highlight w:val="none"/>
          <w:shd w:val="clear" w:fill="auto"/>
        </w:rPr>
        <w:t xml:space="preserve">de </w:t>
      </w:r>
      <w:bookmarkEnd w:id="4"/>
      <w:bookmarkEnd w:id="5"/>
      <w:bookmarkEnd w:id="6"/>
      <w:r>
        <w:rPr>
          <w:rFonts w:hint="default" w:ascii="Times New Roman" w:hAnsi="Times New Roman" w:cs="Times New Roman"/>
          <w:b/>
          <w:sz w:val="24"/>
          <w:szCs w:val="24"/>
          <w:highlight w:val="none"/>
          <w:shd w:val="clear" w:fill="auto"/>
        </w:rPr>
        <w:t xml:space="preserve">${due_amount} (${due_amount.fr}) F CFA </w:t>
      </w:r>
      <w:bookmarkEnd w:id="2"/>
      <w:r>
        <w:rPr>
          <w:rFonts w:hint="default" w:ascii="Times New Roman" w:hAnsi="Times New Roman" w:cs="Times New Roman"/>
          <w:b/>
          <w:sz w:val="24"/>
          <w:szCs w:val="24"/>
          <w:highlight w:val="none"/>
          <w:shd w:val="clear" w:fill="auto"/>
          <w:lang w:val="en-US"/>
        </w:rPr>
        <w:t>${verbal_trial.periodicity.fr2}</w:t>
      </w:r>
      <w:r>
        <w:rPr>
          <w:rFonts w:hint="default" w:ascii="Times New Roman" w:hAnsi="Times New Roman" w:cs="Times New Roman"/>
          <w:b/>
          <w:sz w:val="24"/>
          <w:szCs w:val="24"/>
          <w:highlight w:val="none"/>
          <w:shd w:val="clear" w:fill="auto"/>
        </w:rPr>
        <w:t xml:space="preserve">. </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 xml:space="preserve">La première échéance du prêt est prévue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et la dernière échéance </w:t>
      </w:r>
      <w:r>
        <w:rPr>
          <w:rFonts w:hint="default" w:ascii="Times New Roman" w:hAnsi="Times New Roman" w:cs="Times New Roman"/>
          <w:color w:val="111111"/>
          <w:sz w:val="24"/>
          <w:szCs w:val="24"/>
          <w:highlight w:val="none"/>
          <w:shd w:val="clear" w:fill="auto"/>
        </w:rPr>
        <w:t>le ……………………………..</w:t>
      </w:r>
      <w:r>
        <w:rPr>
          <w:rFonts w:hint="default" w:ascii="Times New Roman" w:hAnsi="Times New Roman" w:cs="Times New Roman"/>
          <w:sz w:val="24"/>
          <w:szCs w:val="24"/>
          <w:highlight w:val="none"/>
        </w:rPr>
        <w:t xml:space="preserve"> comme il ressort du tableau d’amortissement faisant foi joint en annexe.</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opérations relatives au remboursement du présent prêt (intérêts et principal) seront retracées dans le compte N° </w:t>
      </w:r>
      <w:r>
        <w:rPr>
          <w:rFonts w:hint="default" w:ascii="Times New Roman" w:hAnsi="Times New Roman" w:cs="Times New Roman"/>
          <w:sz w:val="24"/>
          <w:szCs w:val="24"/>
          <w:highlight w:val="none"/>
          <w:shd w:val="clear" w:fill="auto"/>
        </w:rPr>
        <w:t>${verbal_trial.account_number}</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d</w:t>
      </w:r>
      <w:r>
        <w:rPr>
          <w:rFonts w:hint="default" w:ascii="Times New Roman" w:hAnsi="Times New Roman" w:cs="Times New Roman"/>
          <w:sz w:val="24"/>
          <w:szCs w:val="24"/>
          <w:highlight w:val="none"/>
        </w:rPr>
        <w:t>omicilié à COFINA Togo SA.</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pacing w:line="240" w:lineRule="auto"/>
        <w:jc w:val="lef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6</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 xml:space="preserve">Intérêts et mode de remboursement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.1 </w:t>
      </w:r>
      <w:r>
        <w:rPr>
          <w:rFonts w:hint="default" w:ascii="Times New Roman" w:hAnsi="Times New Roman" w:cs="Times New Roman"/>
          <w:b/>
          <w:bCs/>
          <w:sz w:val="24"/>
          <w:szCs w:val="24"/>
          <w:highlight w:val="none"/>
          <w:u w:val="single"/>
        </w:rPr>
        <w:t xml:space="preserve">Intérêts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s'oblige à payer, sur le montant en principal du Prêt non échu,</w:t>
      </w:r>
      <w:r>
        <w:rPr>
          <w:rFonts w:hint="default" w:ascii="Times New Roman" w:hAnsi="Times New Roman" w:cs="Times New Roman"/>
          <w:b/>
          <w:sz w:val="24"/>
          <w:szCs w:val="24"/>
          <w:highlight w:val="none"/>
          <w:shd w:val="clear" w:fill="auto"/>
        </w:rPr>
        <w:t xml:space="preserve"> ${total_amount_of_interest}</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 (${total_amount_of_interest.fr} F CFA),</w:t>
      </w:r>
      <w:r>
        <w:rPr>
          <w:rFonts w:hint="default" w:ascii="Times New Roman" w:hAnsi="Times New Roman" w:cs="Times New Roman"/>
          <w:sz w:val="24"/>
          <w:szCs w:val="24"/>
          <w:highlight w:val="none"/>
        </w:rPr>
        <w:t xml:space="preserve"> déterminés sur la base d'un taux fixé à ${ht_rate} % hors taxes. </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sz w:val="24"/>
          <w:szCs w:val="24"/>
          <w:highlight w:val="none"/>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 ci-dessous.</w:t>
      </w:r>
    </w:p>
    <w:p>
      <w:pP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lang w:val="en-US"/>
        </w:rPr>
        <w:t>6</w:t>
      </w:r>
      <w:r>
        <w:rPr>
          <w:rFonts w:hint="default" w:ascii="Times New Roman" w:hAnsi="Times New Roman" w:cs="Times New Roman"/>
          <w:b/>
          <w:sz w:val="24"/>
          <w:szCs w:val="24"/>
          <w:highlight w:val="none"/>
          <w:u w:val="single"/>
        </w:rPr>
        <w:t xml:space="preserve">.2 Mode de remboursement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Ainsi le montant de l’échéance mensuelle est morcelé en paiement quotidien soit ${day_due_amount.fr}(${day_due_amount}</w:t>
      </w:r>
      <w:r>
        <w:rPr>
          <w:rFonts w:hint="default" w:ascii="Times New Roman" w:hAnsi="Times New Roman" w:cs="Times New Roman"/>
          <w:sz w:val="24"/>
          <w:szCs w:val="24"/>
          <w:highlight w:val="none"/>
          <w:lang w:val="en-US"/>
        </w:rPr>
        <w:t xml:space="preserve"> F CFA</w:t>
      </w:r>
      <w:r>
        <w:rPr>
          <w:rFonts w:hint="default" w:ascii="Times New Roman" w:hAnsi="Times New Roman" w:cs="Times New Roman"/>
          <w:sz w:val="24"/>
          <w:szCs w:val="24"/>
          <w:highlight w:val="none"/>
        </w:rPr>
        <w:t xml:space="preserve">) (soit l’échéance mensuelle divisé par 20)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Article </w:t>
      </w:r>
      <w:r>
        <w:rPr>
          <w:rFonts w:hint="default" w:ascii="Times New Roman" w:hAnsi="Times New Roman" w:cs="Times New Roman"/>
          <w:b/>
          <w:sz w:val="24"/>
          <w:szCs w:val="24"/>
          <w:highlight w:val="none"/>
          <w:lang w:val="en-US"/>
        </w:rPr>
        <w:t>7</w:t>
      </w:r>
      <w:r>
        <w:rPr>
          <w:rFonts w:hint="default" w:ascii="Times New Roman" w:hAnsi="Times New Roman" w:cs="Times New Roman"/>
          <w:b/>
          <w:sz w:val="24"/>
          <w:szCs w:val="24"/>
          <w:highlight w:val="none"/>
        </w:rPr>
        <w:t xml:space="preserve"> : </w:t>
      </w:r>
      <w:r>
        <w:rPr>
          <w:rFonts w:hint="default" w:ascii="Times New Roman" w:hAnsi="Times New Roman" w:cs="Times New Roman"/>
          <w:b/>
          <w:sz w:val="24"/>
          <w:szCs w:val="24"/>
          <w:highlight w:val="none"/>
          <w:u w:val="single"/>
        </w:rPr>
        <w:t>Principal</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7</w:t>
      </w:r>
      <w:r>
        <w:rPr>
          <w:rFonts w:hint="default" w:ascii="Times New Roman" w:hAnsi="Times New Roman" w:cs="Times New Roman"/>
          <w:sz w:val="24"/>
          <w:szCs w:val="24"/>
          <w:highlight w:val="none"/>
        </w:rPr>
        <w:t xml:space="preserve">.1 L'Emprunteur s'oblige à rembourser le montant en principal du prêt soit </w:t>
      </w:r>
      <w:bookmarkStart w:id="8" w:name="_Hlk72913289"/>
      <w:r>
        <w:rPr>
          <w:rFonts w:hint="default" w:ascii="Times New Roman" w:hAnsi="Times New Roman" w:cs="Times New Roman"/>
          <w:sz w:val="24"/>
          <w:szCs w:val="24"/>
          <w:highlight w:val="none"/>
        </w:rPr>
        <w:t xml:space="preserve">de </w:t>
      </w:r>
      <w:bookmarkEnd w:id="8"/>
      <w:r>
        <w:rPr>
          <w:rFonts w:hint="default" w:ascii="Times New Roman" w:hAnsi="Times New Roman" w:cs="Times New Roman"/>
          <w:sz w:val="24"/>
          <w:szCs w:val="24"/>
          <w:highlight w:val="none"/>
        </w:rPr>
        <w:t xml:space="preserve"> ${total_to_pay}</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b/>
          <w:sz w:val="24"/>
          <w:szCs w:val="24"/>
          <w:highlight w:val="none"/>
          <w:shd w:val="clear" w:fill="auto"/>
        </w:rPr>
        <w:t xml:space="preserve">F CFA, Soit ${total_to_pay.fr} F CFA </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 xml:space="preserve">comprenant la somme nécessaire à l’amortissement du capital et les intérêts au taux stipulé à l’article </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 xml:space="preserve"> ci-dessus. </w:t>
      </w:r>
    </w:p>
    <w:p>
      <w:pP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8</w:t>
      </w:r>
      <w:r>
        <w:rPr>
          <w:rFonts w:hint="default" w:ascii="Times New Roman" w:hAnsi="Times New Roman" w:cs="Times New Roman"/>
          <w:sz w:val="24"/>
          <w:szCs w:val="24"/>
          <w:highlight w:val="none"/>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d’une pénalité de l'échéance due plus un montant forfaitaire suivant les conditions tarifaires en vigueur.</w:t>
      </w:r>
    </w:p>
    <w:p>
      <w:pPr>
        <w:shd w:val="clea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de pénalité en vigueur s'ils sont dus pour une année entière.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sûreté et garantie du remboursement du présent prêt, soit la somme</w:t>
      </w:r>
      <w:r>
        <w:rPr>
          <w:rFonts w:hint="default" w:ascii="Times New Roman" w:hAnsi="Times New Roman" w:cs="Times New Roman"/>
          <w:b/>
          <w:sz w:val="24"/>
          <w:szCs w:val="24"/>
          <w:highlight w:val="none"/>
          <w:shd w:val="clear" w:fill="auto"/>
        </w:rPr>
        <w:t xml:space="preserve"> Soit ${total_to_pay.fr} F CFA</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${total_to_pay}</w:t>
      </w:r>
      <w:r>
        <w:rPr>
          <w:rFonts w:hint="default" w:ascii="Times New Roman" w:hAnsi="Times New Roman" w:cs="Times New Roman"/>
          <w:b/>
          <w:sz w:val="24"/>
          <w:szCs w:val="24"/>
          <w:highlight w:val="none"/>
          <w:shd w:val="clear" w:fill="auto"/>
          <w:lang w:val="en-US"/>
        </w:rPr>
        <w:t xml:space="preserve"> </w:t>
      </w:r>
      <w:r>
        <w:rPr>
          <w:rFonts w:hint="default" w:ascii="Times New Roman" w:hAnsi="Times New Roman" w:cs="Times New Roman"/>
          <w:b/>
          <w:sz w:val="24"/>
          <w:szCs w:val="24"/>
          <w:highlight w:val="none"/>
          <w:shd w:val="clear" w:fill="auto"/>
        </w:rPr>
        <w:t>F CFA</w:t>
      </w:r>
      <w:r>
        <w:rPr>
          <w:rFonts w:hint="default" w:ascii="Times New Roman" w:hAnsi="Times New Roman" w:cs="Times New Roman"/>
          <w:b/>
          <w:sz w:val="24"/>
          <w:szCs w:val="24"/>
          <w:highlight w:val="none"/>
          <w:shd w:val="clear" w:fill="auto"/>
          <w:lang w:val="en-US"/>
        </w:rPr>
        <w:t>)</w:t>
      </w:r>
      <w:r>
        <w:rPr>
          <w:rFonts w:hint="default" w:ascii="Times New Roman" w:hAnsi="Times New Roman" w:cs="Times New Roman"/>
          <w:b/>
          <w:sz w:val="24"/>
          <w:szCs w:val="24"/>
          <w:highlight w:val="none"/>
          <w:shd w:val="clear" w:fill="auto"/>
        </w:rPr>
        <w:t xml:space="preserve"> </w:t>
      </w:r>
      <w:r>
        <w:rPr>
          <w:rFonts w:hint="default" w:ascii="Times New Roman" w:hAnsi="Times New Roman" w:cs="Times New Roman"/>
          <w:sz w:val="24"/>
          <w:szCs w:val="24"/>
          <w:highlight w:val="none"/>
          <w:shd w:val="clear" w:fill="auto"/>
        </w:rPr>
        <w:t xml:space="preserve">soit le montant du crédit + </w:t>
      </w:r>
      <w:r>
        <w:rPr>
          <w:rFonts w:hint="default" w:ascii="Times New Roman" w:hAnsi="Times New Roman" w:cs="Times New Roman"/>
          <w:b/>
          <w:sz w:val="24"/>
          <w:szCs w:val="24"/>
          <w:highlight w:val="none"/>
          <w:shd w:val="clear" w:fill="auto"/>
        </w:rPr>
        <w:t>${total_amount_of_interest} (${total_amount_of_interest.fr}),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2"/>
        </w:num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${type_of_guarantee.name}</w:t>
      </w:r>
      <w:r>
        <w:rPr>
          <w:rFonts w:hint="default" w:ascii="Times New Roman" w:hAnsi="Times New Roman" w:cs="Times New Roman"/>
          <w:sz w:val="24"/>
          <w:szCs w:val="24"/>
          <w:highlight w:val="none"/>
          <w:lang w:val="en-US"/>
        </w:rPr>
        <w:t xml:space="preserve">: </w:t>
      </w:r>
      <w:r>
        <w:rPr>
          <w:rFonts w:hint="default" w:ascii="Times New Roman" w:hAnsi="Times New Roman" w:cs="Times New Roman"/>
          <w:sz w:val="24"/>
          <w:szCs w:val="24"/>
          <w:highlight w:val="none"/>
        </w:rPr>
        <w:t> ${comment}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Article </w:t>
      </w:r>
      <w:r>
        <w:rPr>
          <w:rFonts w:hint="default" w:ascii="Times New Roman" w:hAnsi="Times New Roman" w:cs="Times New Roman"/>
          <w:b/>
          <w:bCs/>
          <w:sz w:val="24"/>
          <w:szCs w:val="24"/>
          <w:highlight w:val="none"/>
          <w:lang w:val="en-US"/>
        </w:rPr>
        <w:t>10</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Externalisation du recouvrement</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L'emprunteur autorise L’institution à communiquer à ce prestataire toutes les informations nécessaires à la gestion du recouvrement, y compris ses coordonnées et les détails du crédit, conformément aux règles de confidentialité et protection des données personnelles. </w:t>
      </w:r>
    </w:p>
    <w:p>
      <w:pP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 xml:space="preserve">Article </w:t>
      </w:r>
      <w:r>
        <w:rPr>
          <w:rFonts w:hint="default" w:ascii="Times New Roman" w:hAnsi="Times New Roman" w:cs="Times New Roman"/>
          <w:b/>
          <w:sz w:val="24"/>
          <w:szCs w:val="24"/>
          <w:highlight w:val="none"/>
          <w:lang w:val="en-US"/>
        </w:rPr>
        <w:t>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décès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highlight w:val="none"/>
        </w:rPr>
      </w:pP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2</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Article 1</w:t>
      </w:r>
      <w:r>
        <w:rPr>
          <w:rFonts w:hint="default" w:ascii="Times New Roman" w:hAnsi="Times New Roman" w:cs="Times New Roman"/>
          <w:b/>
          <w:bCs/>
          <w:sz w:val="24"/>
          <w:szCs w:val="24"/>
          <w:highlight w:val="none"/>
          <w:lang w:val="en-US"/>
        </w:rPr>
        <w:t>3</w:t>
      </w:r>
      <w:r>
        <w:rPr>
          <w:rFonts w:hint="default" w:ascii="Times New Roman" w:hAnsi="Times New Roman" w:cs="Times New Roman"/>
          <w:b/>
          <w:bCs/>
          <w:sz w:val="24"/>
          <w:szCs w:val="24"/>
          <w:highlight w:val="none"/>
        </w:rPr>
        <w:t xml:space="preserve"> : </w:t>
      </w:r>
      <w:r>
        <w:rPr>
          <w:rFonts w:hint="default" w:ascii="Times New Roman" w:hAnsi="Times New Roman" w:cs="Times New Roman"/>
          <w:b/>
          <w:bCs/>
          <w:sz w:val="24"/>
          <w:szCs w:val="24"/>
          <w:highlight w:val="none"/>
          <w:u w:val="single"/>
        </w:rPr>
        <w:t>Report d’échéance</w:t>
      </w:r>
      <w:r>
        <w:rPr>
          <w:rFonts w:hint="default" w:ascii="Times New Roman" w:hAnsi="Times New Roman" w:cs="Times New Roman"/>
          <w:b/>
          <w:bCs/>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4</w:t>
      </w:r>
      <w:r>
        <w:rPr>
          <w:rFonts w:hint="default" w:ascii="Times New Roman" w:hAnsi="Times New Roman" w:cs="Times New Roman"/>
          <w:b/>
          <w:sz w:val="24"/>
          <w:szCs w:val="24"/>
          <w:highlight w:val="none"/>
        </w:rPr>
        <w:t>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5</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5</w:t>
      </w:r>
      <w:r>
        <w:rPr>
          <w:rFonts w:hint="default" w:ascii="Times New Roman" w:hAnsi="Times New Roman" w:cs="Times New Roman"/>
          <w:sz w:val="24"/>
          <w:szCs w:val="24"/>
          <w:highlight w:val="none"/>
        </w:rPr>
        <w:t xml:space="preserve">.5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pacing w:line="240" w:lineRule="auto"/>
        <w:jc w:val="both"/>
        <w:rPr>
          <w:rFonts w:hint="default" w:ascii="Times New Roman" w:hAnsi="Times New Roman" w:cs="Times New Roman"/>
          <w:sz w:val="24"/>
          <w:szCs w:val="24"/>
          <w:highlight w:val="none"/>
        </w:rPr>
      </w:pP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b/>
          <w:sz w:val="24"/>
          <w:szCs w:val="24"/>
          <w:highlight w:val="none"/>
          <w:lang w:val="en-US"/>
        </w:rPr>
        <w:t>6</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lang w:val="en-US"/>
        </w:rPr>
        <w:t>16</w:t>
      </w:r>
      <w:r>
        <w:rPr>
          <w:rFonts w:hint="default" w:ascii="Times New Roman" w:hAnsi="Times New Roman" w:cs="Times New Roman"/>
          <w:sz w:val="24"/>
          <w:szCs w:val="24"/>
          <w:highlight w:val="none"/>
        </w:rPr>
        <w:t>.1 Le Contrat est régi par le droit Togolais.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ascii="Times New Roman" w:hAnsi="Times New Roman" w:cs="Times New Roman"/>
          <w:sz w:val="24"/>
          <w:szCs w:val="24"/>
          <w:highlight w:val="none"/>
          <w:lang w:val="en-US"/>
        </w:rPr>
        <w:t>6</w:t>
      </w:r>
      <w:r>
        <w:rPr>
          <w:rFonts w:hint="default" w:ascii="Times New Roman" w:hAnsi="Times New Roman" w:cs="Times New Roman"/>
          <w:sz w:val="24"/>
          <w:szCs w:val="24"/>
          <w:highlight w:val="none"/>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Fait à Lomé, 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En Trois (03) exemplaires </w:t>
      </w:r>
    </w:p>
    <w:p>
      <w:pPr>
        <w:jc w:val="cente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br w:type="page"/>
      </w: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lang w:val="en-US"/>
        </w:rPr>
        <w:tab/>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highlight w:val="none"/>
        </w:rPr>
      </w:pPr>
    </w:p>
    <w:p>
      <w:pPr>
        <w:rPr>
          <w:rFonts w:hint="default" w:ascii="Times New Roman" w:hAnsi="Times New Roman" w:cs="Times New Roman"/>
          <w:b/>
          <w:sz w:val="24"/>
          <w:szCs w:val="24"/>
          <w:highlight w:val="none"/>
        </w:rPr>
      </w:pPr>
    </w:p>
    <w:p>
      <w:pPr>
        <w:rPr>
          <w:rFonts w:hint="default" w:ascii="Times New Roman" w:hAnsi="Times New Roman" w:cs="Times New Roman"/>
          <w:b/>
          <w:bCs/>
          <w:iCs/>
          <w:sz w:val="24"/>
          <w:szCs w:val="24"/>
          <w:highlight w:val="none"/>
        </w:rPr>
      </w:pPr>
      <w:r>
        <w:rPr>
          <w:rFonts w:hint="default" w:ascii="Times New Roman" w:hAnsi="Times New Roman" w:cs="Times New Roman"/>
          <w:bCs/>
          <w:iCs/>
          <w:sz w:val="24"/>
          <w:szCs w:val="24"/>
          <w:highlight w:val="none"/>
        </w:rPr>
        <w:t xml:space="preserve">                                   </w:t>
      </w:r>
    </w:p>
    <w:p>
      <w:pPr>
        <w:rPr>
          <w:rFonts w:hint="default" w:ascii="Times New Roman" w:hAnsi="Times New Roman" w:cs="Times New Roman"/>
          <w:sz w:val="24"/>
          <w:szCs w:val="24"/>
          <w:highlight w:val="none"/>
        </w:rPr>
      </w:pPr>
      <w:r>
        <w:rPr>
          <w:rFonts w:hint="default" w:ascii="Times New Roman" w:hAnsi="Times New Roman" w:cs="Times New Roman"/>
          <w:b/>
          <w:bCs/>
          <w:sz w:val="24"/>
          <w:szCs w:val="24"/>
          <w:highlight w:val="none"/>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highlight w:val="none"/>
          <w:shd w:val="clear" w:fill="auto"/>
        </w:rPr>
        <w:t xml:space="preserve">Pour le Client </w:t>
      </w:r>
    </w:p>
    <w:p>
      <w:pPr>
        <w:jc w:val="center"/>
        <w:rPr>
          <w:rFonts w:hint="default" w:ascii="Times New Roman" w:hAnsi="Times New Roman" w:cs="Times New Roman"/>
          <w:b/>
          <w:bCs/>
          <w:sz w:val="24"/>
          <w:szCs w:val="24"/>
          <w:highlight w:val="none"/>
          <w:lang w:val="en-US"/>
        </w:rPr>
      </w:pPr>
      <w:bookmarkStart w:id="9" w:name="_Hlk156213304"/>
      <w:r>
        <w:rPr>
          <w:rFonts w:hint="default" w:ascii="Times New Roman" w:hAnsi="Times New Roman" w:cs="Times New Roman"/>
          <w:b/>
          <w:sz w:val="24"/>
          <w:szCs w:val="24"/>
          <w:highlight w:val="none"/>
          <w:lang w:val="en-US"/>
        </w:rPr>
        <w:t>${company.denomination}</w:t>
      </w:r>
    </w:p>
    <w:bookmarkEnd w:id="9"/>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bCs w:val="0"/>
          <w:sz w:val="24"/>
          <w:szCs w:val="24"/>
          <w:highlight w:val="none"/>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${company.denomination}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pPr>
    <w:r>
      <w:rPr>
        <w:rFonts w:hint="default"/>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2">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2"/>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47BB914"/>
    <w:rsid w:val="1973F31C"/>
    <w:rsid w:val="1ABF6593"/>
    <w:rsid w:val="1FB2C1BD"/>
    <w:rsid w:val="1FDB046A"/>
    <w:rsid w:val="275380D8"/>
    <w:rsid w:val="2DDFBC87"/>
    <w:rsid w:val="30DD53FD"/>
    <w:rsid w:val="39FA04C4"/>
    <w:rsid w:val="3F33D107"/>
    <w:rsid w:val="3FEE4DEC"/>
    <w:rsid w:val="44647091"/>
    <w:rsid w:val="4DE5DE0B"/>
    <w:rsid w:val="53DF964A"/>
    <w:rsid w:val="55EE49DA"/>
    <w:rsid w:val="573CB4F2"/>
    <w:rsid w:val="5BFF754C"/>
    <w:rsid w:val="5DFF336E"/>
    <w:rsid w:val="5EF54878"/>
    <w:rsid w:val="5F4B5793"/>
    <w:rsid w:val="5F79FBB8"/>
    <w:rsid w:val="613C5CEA"/>
    <w:rsid w:val="63F7535E"/>
    <w:rsid w:val="667F1D2D"/>
    <w:rsid w:val="67FF0DA4"/>
    <w:rsid w:val="6D3F0546"/>
    <w:rsid w:val="6E7C2AEA"/>
    <w:rsid w:val="6F75E4AA"/>
    <w:rsid w:val="6F7B2517"/>
    <w:rsid w:val="6F7EA89A"/>
    <w:rsid w:val="735B2F08"/>
    <w:rsid w:val="73B58C75"/>
    <w:rsid w:val="75EFE144"/>
    <w:rsid w:val="76B70BC6"/>
    <w:rsid w:val="777F8C52"/>
    <w:rsid w:val="77D40AD8"/>
    <w:rsid w:val="7A8FD646"/>
    <w:rsid w:val="7B6F5C1C"/>
    <w:rsid w:val="7B7FAD11"/>
    <w:rsid w:val="7CEFA60F"/>
    <w:rsid w:val="7D77A87C"/>
    <w:rsid w:val="7DF7DFB5"/>
    <w:rsid w:val="7DFD9FFC"/>
    <w:rsid w:val="7EBFA969"/>
    <w:rsid w:val="7EEF3748"/>
    <w:rsid w:val="7EFFB152"/>
    <w:rsid w:val="7FD9B923"/>
    <w:rsid w:val="7FFB976A"/>
    <w:rsid w:val="7FFBD813"/>
    <w:rsid w:val="9BFE10F3"/>
    <w:rsid w:val="9DDDEE40"/>
    <w:rsid w:val="9EBAAA17"/>
    <w:rsid w:val="9EFB1DBC"/>
    <w:rsid w:val="9FEF47E2"/>
    <w:rsid w:val="A56FBF80"/>
    <w:rsid w:val="A7FF5956"/>
    <w:rsid w:val="ABF7465E"/>
    <w:rsid w:val="AE7AEC25"/>
    <w:rsid w:val="AE7BF738"/>
    <w:rsid w:val="AEF3FEE5"/>
    <w:rsid w:val="AFFF9780"/>
    <w:rsid w:val="BA3B578F"/>
    <w:rsid w:val="BD766961"/>
    <w:rsid w:val="BDFFD108"/>
    <w:rsid w:val="BE728728"/>
    <w:rsid w:val="BFDDD6C2"/>
    <w:rsid w:val="CF9FC517"/>
    <w:rsid w:val="CFED15A6"/>
    <w:rsid w:val="D5FB14F4"/>
    <w:rsid w:val="DDEB25EA"/>
    <w:rsid w:val="DFFF678F"/>
    <w:rsid w:val="E3B9D2AE"/>
    <w:rsid w:val="E5AB6668"/>
    <w:rsid w:val="E7AF1E2A"/>
    <w:rsid w:val="E7EAC5F3"/>
    <w:rsid w:val="EB795490"/>
    <w:rsid w:val="EBBF6C5A"/>
    <w:rsid w:val="EBFF8C0D"/>
    <w:rsid w:val="ED2F72E3"/>
    <w:rsid w:val="EFC94195"/>
    <w:rsid w:val="EFF7C58E"/>
    <w:rsid w:val="EFFEA964"/>
    <w:rsid w:val="F3EFDE8F"/>
    <w:rsid w:val="F7EF7D90"/>
    <w:rsid w:val="F7EF881A"/>
    <w:rsid w:val="F7F737E9"/>
    <w:rsid w:val="F7FB4CAC"/>
    <w:rsid w:val="F7FC344C"/>
    <w:rsid w:val="FA55D77A"/>
    <w:rsid w:val="FA5FED05"/>
    <w:rsid w:val="FAAF53E5"/>
    <w:rsid w:val="FBAF4F69"/>
    <w:rsid w:val="FBB3A364"/>
    <w:rsid w:val="FBEF99BE"/>
    <w:rsid w:val="FCBDEFAE"/>
    <w:rsid w:val="FDBA9694"/>
    <w:rsid w:val="FDBFB375"/>
    <w:rsid w:val="FDEE88C8"/>
    <w:rsid w:val="FEE7E934"/>
    <w:rsid w:val="FEEF726A"/>
    <w:rsid w:val="FEF75492"/>
    <w:rsid w:val="FF4DA749"/>
    <w:rsid w:val="FF643FE4"/>
    <w:rsid w:val="FF6F7FE2"/>
    <w:rsid w:val="FFC355DD"/>
    <w:rsid w:val="FFEF63D1"/>
    <w:rsid w:val="FFF76532"/>
    <w:rsid w:val="FFFF92C9"/>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0</TotalTime>
  <ScaleCrop>false</ScaleCrop>
  <LinksUpToDate>false</LinksUpToDate>
  <CharactersWithSpaces>11951</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2025-12-31T13:13:33Z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