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hd w:val="clear"/>
        <w:spacing w:line="240" w:lineRule="auto"/>
        <w:jc w:val="center"/>
        <w:rPr>
          <w:rFonts w:hint="default" w:ascii="Times New Roman" w:hAnsi="Times New Roman" w:cs="Times New Roman"/>
          <w:b/>
          <w:sz w:val="28"/>
          <w:szCs w:val="28"/>
          <w:highlight w:val="none"/>
          <w:bdr w:val="double" w:color="000000" w:sz="24" w:space="0"/>
        </w:rPr>
      </w:pPr>
      <w:r>
        <w:rPr>
          <w:rFonts w:hint="default" w:ascii="Times New Roman" w:hAnsi="Times New Roman" w:cs="Times New Roman"/>
          <w:b/>
          <w:sz w:val="28"/>
          <w:szCs w:val="28"/>
          <w:highlight w:val="none"/>
          <w:bdr w:val="double" w:color="000000" w:sz="24" w:space="0"/>
        </w:rPr>
        <w:t>CONTRAT DE PRET</w:t>
      </w:r>
    </w:p>
    <w:p>
      <w:pPr>
        <w:shd w:val="clear"/>
        <w:spacing w:line="240" w:lineRule="auto"/>
        <w:jc w:val="center"/>
        <w:rPr>
          <w:rFonts w:hint="default" w:ascii="Times New Roman" w:hAnsi="Times New Roman" w:cs="Times New Roman"/>
          <w:b/>
          <w:sz w:val="28"/>
          <w:szCs w:val="28"/>
          <w:highlight w:val="none"/>
          <w:bdr w:val="double" w:color="000000" w:sz="24" w:space="0"/>
        </w:rPr>
      </w:pPr>
    </w:p>
    <w:p>
      <w:pPr>
        <w:shd w:val="clear"/>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bCs/>
          <w:sz w:val="24"/>
          <w:szCs w:val="24"/>
          <w:highlight w:val="none"/>
          <w:u w:val="single"/>
        </w:rPr>
        <w:t xml:space="preserve">ENTRE-LES SOUSSIGNES : </w:t>
      </w:r>
    </w:p>
    <w:p>
      <w:pPr>
        <w:shd w:val="clear"/>
        <w:jc w:val="both"/>
        <w:rPr>
          <w:rFonts w:hint="default" w:ascii="Times New Roman" w:hAnsi="Times New Roman" w:cs="Times New Roman"/>
          <w:color w:val="000000"/>
          <w:sz w:val="22"/>
          <w:szCs w:val="22"/>
          <w:highlight w:val="none"/>
        </w:rPr>
      </w:pPr>
      <w:r>
        <w:rPr>
          <w:rFonts w:hint="default" w:ascii="Times New Roman" w:hAnsi="Times New Roman" w:cs="Times New Roman"/>
          <w:b/>
          <w:color w:val="000000"/>
          <w:sz w:val="22"/>
          <w:szCs w:val="22"/>
          <w:highlight w:val="none"/>
        </w:rPr>
        <w:t>COMPAGNIE FINANCIERE AFRICAINE (COFINA) Togo SA</w:t>
      </w:r>
      <w:r>
        <w:rPr>
          <w:rFonts w:hint="default" w:ascii="Times New Roman" w:hAnsi="Times New Roman" w:cs="Times New Roman"/>
          <w:color w:val="000000"/>
          <w:sz w:val="22"/>
          <w:szCs w:val="22"/>
          <w:highlight w:val="none"/>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2"/>
          <w:szCs w:val="22"/>
          <w:highlight w:val="none"/>
        </w:rPr>
        <w:t>Numéro 36 et inscrite sur la liste de l’APSFD sous le numéro T/1/GFLM/2019/257A</w:t>
      </w:r>
      <w:r>
        <w:rPr>
          <w:rFonts w:hint="default" w:ascii="Times New Roman" w:hAnsi="Times New Roman" w:cs="Times New Roman"/>
          <w:color w:val="000000"/>
          <w:sz w:val="22"/>
          <w:szCs w:val="22"/>
          <w:highlight w:val="none"/>
        </w:rPr>
        <w:t>, dont le siège social est situé à LOME (TOGO</w:t>
      </w:r>
      <w:bookmarkStart w:id="0" w:name="_Hlk66259236"/>
      <w:r>
        <w:rPr>
          <w:rFonts w:hint="default" w:ascii="Times New Roman" w:hAnsi="Times New Roman" w:cs="Times New Roman"/>
          <w:color w:val="000000"/>
          <w:sz w:val="22"/>
          <w:szCs w:val="22"/>
          <w:highlight w:val="none"/>
        </w:rPr>
        <w:t>), Boulevard du 13 Janvier, Quartier Kodjoviakope, 07 BP : 7499 Lomé-TOGO</w:t>
      </w:r>
      <w:bookmarkEnd w:id="0"/>
      <w:r>
        <w:rPr>
          <w:rFonts w:hint="default" w:ascii="Times New Roman" w:hAnsi="Times New Roman" w:cs="Times New Roman"/>
          <w:color w:val="000000"/>
          <w:sz w:val="22"/>
          <w:szCs w:val="22"/>
          <w:highlight w:val="none"/>
        </w:rPr>
        <w:t xml:space="preserve">, Tel : 00 228 22 23 68 68/ 00 228 22 23 68 60, </w:t>
      </w:r>
    </w:p>
    <w:p>
      <w:pPr>
        <w:shd w:val="clear"/>
        <w:jc w:val="both"/>
        <w:rPr>
          <w:rFonts w:hint="default" w:ascii="Times New Roman" w:hAnsi="Times New Roman" w:cs="Times New Roman"/>
          <w:sz w:val="22"/>
          <w:szCs w:val="22"/>
          <w:highlight w:val="none"/>
        </w:rPr>
      </w:pPr>
      <w:r>
        <w:rPr>
          <w:rFonts w:hint="default" w:ascii="Times New Roman" w:hAnsi="Times New Roman" w:cs="Times New Roman"/>
          <w:bCs/>
          <w:iCs/>
          <w:color w:val="000000"/>
          <w:sz w:val="22"/>
          <w:szCs w:val="22"/>
          <w:highlight w:val="none"/>
        </w:rPr>
        <w:t xml:space="preserve">Représentée par </w:t>
      </w:r>
      <w:r>
        <w:rPr>
          <w:rFonts w:hint="default" w:ascii="Times New Roman" w:hAnsi="Times New Roman" w:cs="Times New Roman"/>
          <w:b/>
          <w:iCs/>
          <w:color w:val="000000"/>
          <w:sz w:val="22"/>
          <w:szCs w:val="22"/>
          <w:highlight w:val="none"/>
        </w:rPr>
        <w:t>Monsieur Mélaine Marcel Séraphin DIGBE</w:t>
      </w:r>
      <w:r>
        <w:rPr>
          <w:rFonts w:hint="default" w:ascii="Times New Roman" w:hAnsi="Times New Roman" w:cs="Times New Roman"/>
          <w:bCs/>
          <w:iCs/>
          <w:color w:val="000000"/>
          <w:sz w:val="22"/>
          <w:szCs w:val="22"/>
          <w:highlight w:val="none"/>
        </w:rPr>
        <w:t xml:space="preserve">, en sa qualité de Directeur Général, dûment habilité, et par délégation de pouvoir à </w:t>
      </w:r>
      <w:r>
        <w:rPr>
          <w:rFonts w:hint="default" w:ascii="Times New Roman" w:hAnsi="Times New Roman" w:cs="Times New Roman"/>
          <w:b/>
          <w:bCs/>
          <w:iCs/>
          <w:color w:val="000000"/>
          <w:sz w:val="22"/>
          <w:szCs w:val="22"/>
          <w:highlight w:val="none"/>
          <w:shd w:val="clear" w:fill="auto"/>
        </w:rPr>
        <w:t>${signatory}</w:t>
      </w:r>
      <w:r>
        <w:rPr>
          <w:rFonts w:hint="default" w:ascii="Times New Roman" w:hAnsi="Times New Roman" w:cs="Times New Roman"/>
          <w:bCs/>
          <w:iCs/>
          <w:color w:val="000000"/>
          <w:sz w:val="22"/>
          <w:szCs w:val="22"/>
          <w:highlight w:val="none"/>
        </w:rPr>
        <w:t xml:space="preserve">, et </w:t>
      </w:r>
      <w:r>
        <w:rPr>
          <w:rFonts w:hint="default" w:ascii="Times New Roman" w:hAnsi="Times New Roman" w:cs="Times New Roman"/>
          <w:b/>
          <w:iCs/>
          <w:color w:val="000000"/>
          <w:sz w:val="22"/>
          <w:szCs w:val="22"/>
          <w:highlight w:val="none"/>
        </w:rPr>
        <w:t>Madame Christèle F. R. FEBON</w:t>
      </w:r>
      <w:r>
        <w:rPr>
          <w:rFonts w:hint="default" w:ascii="Times New Roman" w:hAnsi="Times New Roman" w:cs="Times New Roman"/>
          <w:bCs/>
          <w:iCs/>
          <w:color w:val="000000"/>
          <w:sz w:val="22"/>
          <w:szCs w:val="22"/>
          <w:highlight w:val="none"/>
        </w:rPr>
        <w:t xml:space="preserve"> épouse JOHNSON, Directrice d’exploitation, vertu d’un acte reçu par </w:t>
      </w:r>
      <w:r>
        <w:rPr>
          <w:rFonts w:hint="default" w:ascii="Times New Roman" w:hAnsi="Times New Roman" w:cs="Times New Roman"/>
          <w:bCs/>
          <w:iCs/>
          <w:color w:val="111111"/>
          <w:sz w:val="22"/>
          <w:szCs w:val="22"/>
          <w:highlight w:val="none"/>
        </w:rPr>
        <w:t>Me Afiavi S. do REGO-d’Almeida, Notaire à Lomé, en date du 19 Août 2022</w:t>
      </w:r>
      <w:r>
        <w:rPr>
          <w:rFonts w:hint="default" w:ascii="Times New Roman" w:hAnsi="Times New Roman" w:cs="Times New Roman"/>
          <w:sz w:val="22"/>
          <w:szCs w:val="22"/>
          <w:highlight w:val="none"/>
        </w:rPr>
        <w:t xml:space="preserve">, </w:t>
      </w:r>
    </w:p>
    <w:p>
      <w:pPr>
        <w:shd w:val="clear"/>
        <w:ind w:right="-141"/>
        <w:jc w:val="right"/>
        <w:rPr>
          <w:rFonts w:hint="default" w:ascii="Times New Roman" w:hAnsi="Times New Roman" w:cs="Times New Roman"/>
          <w:i/>
          <w:iCs/>
          <w:sz w:val="22"/>
          <w:szCs w:val="22"/>
          <w:highlight w:val="none"/>
        </w:rPr>
      </w:pPr>
      <w:r>
        <w:rPr>
          <w:rFonts w:hint="default" w:ascii="Times New Roman" w:hAnsi="Times New Roman" w:cs="Times New Roman"/>
          <w:sz w:val="22"/>
          <w:szCs w:val="22"/>
          <w:highlight w:val="none"/>
        </w:rPr>
        <w:t xml:space="preserve">Ci-après dénommée « </w:t>
      </w:r>
      <w:r>
        <w:rPr>
          <w:rFonts w:hint="default" w:ascii="Times New Roman" w:hAnsi="Times New Roman" w:cs="Times New Roman"/>
          <w:b/>
          <w:bCs/>
          <w:sz w:val="22"/>
          <w:szCs w:val="22"/>
          <w:highlight w:val="none"/>
        </w:rPr>
        <w:t xml:space="preserve">COFINA TOGO SA », </w:t>
      </w:r>
      <w:r>
        <w:rPr>
          <w:rFonts w:hint="default" w:ascii="Times New Roman" w:hAnsi="Times New Roman" w:cs="Times New Roman"/>
          <w:b/>
          <w:bCs/>
          <w:i/>
          <w:iCs/>
          <w:sz w:val="22"/>
          <w:szCs w:val="22"/>
          <w:highlight w:val="none"/>
        </w:rPr>
        <w:t>d’une part</w:t>
      </w:r>
      <w:r>
        <w:rPr>
          <w:rFonts w:hint="default" w:ascii="Times New Roman" w:hAnsi="Times New Roman" w:cs="Times New Roman"/>
          <w:i/>
          <w:iCs/>
          <w:sz w:val="22"/>
          <w:szCs w:val="22"/>
          <w:highlight w:val="none"/>
        </w:rPr>
        <w: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Et</w:t>
      </w:r>
      <w:bookmarkStart w:id="1" w:name="_Hlk68256928"/>
      <w:bookmarkEnd w:id="1"/>
    </w:p>
    <w:p>
      <w:pPr>
        <w:shd w:val="clear"/>
        <w:ind w:right="-468"/>
        <w:jc w:val="both"/>
        <w:rPr>
          <w:rFonts w:hint="default" w:ascii="Times New Roman" w:hAnsi="Times New Roman" w:cs="Times New Roman"/>
          <w:b/>
          <w:bCs/>
          <w:sz w:val="22"/>
          <w:szCs w:val="22"/>
          <w:highlight w:val="none"/>
        </w:rPr>
      </w:pPr>
      <w:bookmarkStart w:id="10" w:name="_GoBack"/>
      <w:r>
        <w:rPr>
          <w:rFonts w:hint="default" w:ascii="Times New Roman" w:hAnsi="Times New Roman" w:cs="Times New Roman"/>
          <w:sz w:val="22"/>
          <w:szCs w:val="22"/>
          <w:highlight w:val="none"/>
          <w:shd w:val="clear"/>
        </w:rPr>
        <w:t>${verbal_trial.civility} ${verbal_trial.applicant_last_name} ${verbal_trial.applicant_first_name} née le ${representative_birth_date</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sz w:val="22"/>
          <w:szCs w:val="22"/>
          <w:highlight w:val="none"/>
          <w:shd w:val="clear"/>
          <w:lang w:val="en-US"/>
        </w:rPr>
        <w:t>_fr</w:t>
      </w:r>
      <w:r>
        <w:rPr>
          <w:rFonts w:hint="default" w:ascii="Times New Roman" w:hAnsi="Times New Roman" w:cs="Times New Roman"/>
          <w:sz w:val="22"/>
          <w:szCs w:val="22"/>
          <w:highlight w:val="none"/>
          <w:shd w:val="clear"/>
        </w:rPr>
        <w:t>}</w:t>
      </w:r>
      <w:r>
        <w:rPr>
          <w:rFonts w:hint="default" w:ascii="Times New Roman" w:hAnsi="Times New Roman" w:cs="Times New Roman"/>
          <w:b/>
          <w:bCs/>
          <w:sz w:val="22"/>
          <w:szCs w:val="22"/>
          <w:highlight w:val="none"/>
          <w:shd w:val="clear"/>
        </w:rPr>
        <w:t xml:space="preserve">, promoteur de </w:t>
      </w:r>
      <w:r>
        <w:rPr>
          <w:rFonts w:hint="default" w:ascii="Times New Roman" w:hAnsi="Times New Roman" w:cs="Times New Roman"/>
          <w:b/>
          <w:bCs/>
          <w:sz w:val="22"/>
          <w:szCs w:val="22"/>
          <w:highlight w:val="none"/>
          <w:shd w:val="clear"/>
          <w:lang w:val="en-US"/>
        </w:rPr>
        <w:t>${individual_business.denomination}</w:t>
      </w:r>
      <w:r>
        <w:rPr>
          <w:rFonts w:hint="default" w:ascii="Times New Roman" w:hAnsi="Times New Roman" w:cs="Times New Roman"/>
          <w:bCs/>
          <w:sz w:val="22"/>
          <w:szCs w:val="22"/>
          <w:highlight w:val="none"/>
          <w:shd w:val="clear"/>
        </w:rPr>
        <w:t>, ayant pour objet ${individual_business</w:t>
      </w:r>
      <w:r>
        <w:rPr>
          <w:rFonts w:hint="default" w:ascii="Times New Roman" w:hAnsi="Times New Roman" w:cs="Times New Roman"/>
          <w:bCs/>
          <w:sz w:val="22"/>
          <w:szCs w:val="22"/>
          <w:highlight w:val="none"/>
          <w:shd w:val="clear"/>
          <w:lang w:val="en-US"/>
        </w:rPr>
        <w:t>.</w:t>
      </w:r>
      <w:r>
        <w:rPr>
          <w:rFonts w:hint="default" w:ascii="Times New Roman" w:hAnsi="Times New Roman" w:cs="Times New Roman"/>
          <w:bCs/>
          <w:sz w:val="22"/>
          <w:szCs w:val="22"/>
          <w:highlight w:val="none"/>
          <w:shd w:val="clear"/>
        </w:rPr>
        <w:t>corporate_purpose}, dont le siège social est à</w:t>
      </w:r>
      <w:r>
        <w:rPr>
          <w:rFonts w:hint="default" w:ascii="Times New Roman" w:hAnsi="Times New Roman" w:cs="Times New Roman"/>
          <w:bCs/>
          <w:sz w:val="22"/>
          <w:szCs w:val="22"/>
          <w:highlight w:val="none"/>
          <w:shd w:val="clear"/>
          <w:lang w:val="en-US"/>
        </w:rPr>
        <w:t xml:space="preserve">  </w:t>
      </w:r>
      <w:r>
        <w:rPr>
          <w:rFonts w:hint="default" w:ascii="Times New Roman" w:hAnsi="Times New Roman" w:cs="Times New Roman"/>
          <w:b w:val="0"/>
          <w:bCs w:val="0"/>
          <w:sz w:val="22"/>
          <w:szCs w:val="22"/>
          <w:highlight w:val="none"/>
          <w:shd w:val="clear"/>
          <w:lang w:val="en-US"/>
        </w:rPr>
        <w:t>${</w:t>
      </w:r>
      <w:r>
        <w:rPr>
          <w:rFonts w:hint="default" w:ascii="Times New Roman" w:hAnsi="Times New Roman" w:cs="Times New Roman"/>
          <w:bCs/>
          <w:sz w:val="22"/>
          <w:szCs w:val="22"/>
          <w:highlight w:val="none"/>
          <w:shd w:val="clear"/>
        </w:rPr>
        <w:t>individual_business</w:t>
      </w:r>
      <w:r>
        <w:rPr>
          <w:rFonts w:hint="default" w:ascii="Times New Roman" w:hAnsi="Times New Roman" w:cs="Times New Roman"/>
          <w:b w:val="0"/>
          <w:bCs w:val="0"/>
          <w:sz w:val="22"/>
          <w:szCs w:val="22"/>
          <w:highlight w:val="none"/>
          <w:shd w:val="clear"/>
          <w:lang w:val="en-US"/>
        </w:rPr>
        <w:t>.head_office_address}</w:t>
      </w:r>
      <w:r>
        <w:rPr>
          <w:rFonts w:hint="default" w:ascii="Times New Roman" w:hAnsi="Times New Roman" w:cs="Times New Roman"/>
          <w:sz w:val="22"/>
          <w:szCs w:val="22"/>
          <w:highlight w:val="none"/>
          <w:shd w:val="clear"/>
        </w:rPr>
        <w:t>,</w:t>
      </w:r>
      <w:r>
        <w:rPr>
          <w:rFonts w:hint="default" w:ascii="Times New Roman" w:hAnsi="Times New Roman" w:cs="Times New Roman"/>
          <w:bCs/>
          <w:sz w:val="22"/>
          <w:szCs w:val="22"/>
          <w:highlight w:val="none"/>
          <w:shd w:val="clear"/>
        </w:rPr>
        <w:t xml:space="preserve"> immatriculée sous le registre du Commerce et du Crédit Mobilier de Lomé, sous le numéro </w:t>
      </w:r>
      <w:r>
        <w:rPr>
          <w:rFonts w:hint="default" w:ascii="Times New Roman" w:hAnsi="Times New Roman" w:cs="Times New Roman"/>
          <w:bCs/>
          <w:sz w:val="22"/>
          <w:szCs w:val="22"/>
          <w:highlight w:val="none"/>
          <w:shd w:val="clear"/>
          <w:lang w:val="en-US"/>
        </w:rPr>
        <w:t>${individual_business.rccm_number}</w:t>
      </w:r>
      <w:r>
        <w:rPr>
          <w:rFonts w:hint="default" w:ascii="Times New Roman" w:hAnsi="Times New Roman" w:cs="Times New Roman"/>
          <w:bCs/>
          <w:sz w:val="22"/>
          <w:szCs w:val="22"/>
          <w:highlight w:val="none"/>
          <w:shd w:val="clear"/>
        </w:rPr>
        <w:t xml:space="preserve">, numéro de téléphone : </w:t>
      </w:r>
      <w:r>
        <w:rPr>
          <w:rFonts w:hint="default" w:ascii="Times New Roman" w:hAnsi="Times New Roman" w:cs="Times New Roman"/>
          <w:bCs/>
          <w:sz w:val="22"/>
          <w:szCs w:val="22"/>
          <w:highlight w:val="none"/>
          <w:shd w:val="clear"/>
          <w:lang w:val="en-US"/>
        </w:rPr>
        <w:t>${individual_business.phone_number}</w:t>
      </w:r>
      <w:r>
        <w:rPr>
          <w:rFonts w:hint="default" w:ascii="Times New Roman" w:hAnsi="Times New Roman" w:cs="Times New Roman"/>
          <w:b/>
          <w:bCs/>
          <w:sz w:val="22"/>
          <w:szCs w:val="22"/>
          <w:highlight w:val="none"/>
        </w:rPr>
        <w:t xml:space="preserve"> </w:t>
      </w:r>
    </w:p>
    <w:bookmarkEnd w:id="10"/>
    <w:p>
      <w:pPr>
        <w:shd w:val="clear"/>
        <w:spacing w:line="240" w:lineRule="auto"/>
        <w:jc w:val="righ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Ci-après désigné(e) « l’Emprunteur »</w:t>
      </w:r>
    </w:p>
    <w:p>
      <w:pPr>
        <w:rPr>
          <w:rFonts w:hint="default" w:ascii="Times New Roman" w:hAnsi="Times New Roman" w:cs="Times New Roman"/>
          <w:sz w:val="24"/>
          <w:szCs w:val="24"/>
          <w:highlight w:val="none"/>
          <w:u w:val="single"/>
        </w:rPr>
      </w:pPr>
      <w:r>
        <w:rPr>
          <w:rFonts w:hint="default" w:ascii="Times New Roman" w:hAnsi="Times New Roman" w:cs="Times New Roman"/>
          <w:sz w:val="24"/>
          <w:szCs w:val="24"/>
          <w:highlight w:val="none"/>
          <w:u w:val="single"/>
        </w:rPr>
        <w:br w:type="page"/>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u w:val="single"/>
        </w:rPr>
        <w:t>IL A ETE CONVENU ET ARRETE CE QUI SUIT</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b/>
          <w:sz w:val="24"/>
          <w:szCs w:val="24"/>
          <w:highlight w:val="none"/>
        </w:rPr>
        <w:t>Article 1</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Objet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Sous réserve de la réalisation des conditions préalables visées à I'article 8 ci-après, l’institution consent à l'Emprunteur, qui accepte et s'engage à en exécuter les termes, conditions et modalités telles que définies ci-après, </w:t>
      </w:r>
      <w:r>
        <w:rPr>
          <w:rFonts w:hint="default" w:ascii="Times New Roman" w:hAnsi="Times New Roman" w:cs="Times New Roman"/>
          <w:sz w:val="22"/>
          <w:szCs w:val="22"/>
          <w:highlight w:val="none"/>
          <w:shd w:val="clear" w:fill="auto"/>
        </w:rPr>
        <w:t>${verbal_trial.type_of_credit.name}</w:t>
      </w:r>
      <w:r>
        <w:rPr>
          <w:rFonts w:hint="default" w:ascii="Times New Roman" w:hAnsi="Times New Roman" w:cs="Times New Roman"/>
          <w:sz w:val="22"/>
          <w:szCs w:val="22"/>
          <w:highlight w:val="none"/>
        </w:rPr>
        <w:t xml:space="preserve"> aux caractéristiques suivantes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Montant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${verbal_trial.amount} F CFA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Durée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${verbal_trial.duration} mois</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Périodicité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${verbal_trial.periodicity.fr}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Taux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 ${ht_rate} %</w:t>
      </w:r>
    </w:p>
    <w:p>
      <w:pPr>
        <w:shd w:val="clear"/>
        <w:tabs>
          <w:tab w:val="left" w:pos="708"/>
          <w:tab w:val="left" w:pos="1416"/>
          <w:tab w:val="left" w:pos="2124"/>
          <w:tab w:val="left" w:pos="2748"/>
          <w:tab w:val="left" w:pos="3708"/>
          <w:tab w:val="center" w:pos="4896"/>
        </w:tabs>
        <w:spacing w:line="240" w:lineRule="auto"/>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TAF                              </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  : ${verbal_trial.taf} %</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sz w:val="22"/>
          <w:szCs w:val="22"/>
          <w:highlight w:val="none"/>
          <w:shd w:val="clear" w:fill="auto"/>
          <w:lang w:val="en-US"/>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rPr>
        <w:t xml:space="preserve">Frais de dossier              : ${verbal_trial.administrative_fees_percentage} </w:t>
      </w:r>
      <w:r>
        <w:rPr>
          <w:rFonts w:hint="default" w:ascii="Times New Roman" w:hAnsi="Times New Roman" w:cs="Times New Roman"/>
          <w:b/>
          <w:sz w:val="22"/>
          <w:szCs w:val="22"/>
          <w:highlight w:val="none"/>
          <w:shd w:val="clear" w:fill="auto"/>
          <w:lang w:val="en-US"/>
        </w:rPr>
        <w:t>%</w:t>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rPr>
        <w:t xml:space="preserve"> Prime d’assurance : ${verbal_trial.insurance_premium}  </w:t>
      </w:r>
      <w:r>
        <w:rPr>
          <w:rFonts w:hint="default" w:ascii="Times New Roman" w:hAnsi="Times New Roman" w:cs="Times New Roman"/>
          <w:b/>
          <w:sz w:val="22"/>
          <w:szCs w:val="22"/>
          <w:highlight w:val="none"/>
          <w:shd w:val="clear" w:fill="auto"/>
        </w:rPr>
        <w:t>F CFA</w:t>
      </w:r>
    </w:p>
    <w:p>
      <w:pPr>
        <w:pStyle w:val="20"/>
        <w:numPr>
          <w:ilvl w:val="0"/>
          <w:numId w:val="0"/>
        </w:numPr>
        <w:shd w:val="clear"/>
        <w:tabs>
          <w:tab w:val="left" w:pos="708"/>
          <w:tab w:val="left" w:pos="1416"/>
          <w:tab w:val="left" w:pos="2124"/>
          <w:tab w:val="left" w:pos="2748"/>
          <w:tab w:val="left" w:pos="3708"/>
        </w:tabs>
        <w:spacing w:before="0" w:after="160" w:line="240" w:lineRule="auto"/>
        <w:ind w:left="0" w:firstLine="0"/>
        <w:contextualSpacing/>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lang w:val="en-US"/>
        </w:rPr>
        <w:tab/>
      </w:r>
      <w:r>
        <w:rPr>
          <w:rFonts w:hint="default" w:ascii="Times New Roman" w:hAnsi="Times New Roman" w:cs="Times New Roman"/>
          <w:b/>
          <w:sz w:val="22"/>
          <w:szCs w:val="22"/>
          <w:highlight w:val="none"/>
        </w:rPr>
        <w:t xml:space="preserve">Prime de risque (%)« Montant de la prime de risque »  </w:t>
      </w:r>
      <w:r>
        <w:rPr>
          <w:rFonts w:hint="default" w:ascii="Times New Roman" w:hAnsi="Times New Roman" w:cs="Times New Roman"/>
          <w:b/>
          <w:sz w:val="22"/>
          <w:szCs w:val="22"/>
          <w:highlight w:val="none"/>
          <w:shd w:val="clear" w:fill="auto"/>
        </w:rPr>
        <w:t>F CFA</w:t>
      </w:r>
    </w:p>
    <w:p>
      <w:pPr>
        <w:shd w:val="clear"/>
        <w:tabs>
          <w:tab w:val="left" w:pos="708"/>
          <w:tab w:val="left" w:pos="1416"/>
          <w:tab w:val="left" w:pos="2124"/>
          <w:tab w:val="left" w:pos="2748"/>
          <w:tab w:val="left" w:pos="3708"/>
        </w:tabs>
        <w:spacing w:line="240" w:lineRule="auto"/>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shd w:val="clear" w:fill="auto"/>
          <w:lang w:val="en-US"/>
        </w:rPr>
        <w:tab/>
      </w:r>
      <w:r>
        <w:rPr>
          <w:rFonts w:hint="default" w:ascii="Times New Roman" w:hAnsi="Times New Roman" w:cs="Times New Roman"/>
          <w:b/>
          <w:sz w:val="22"/>
          <w:szCs w:val="22"/>
          <w:highlight w:val="none"/>
          <w:shd w:val="clear" w:fill="auto"/>
          <w:lang w:val="en-US"/>
        </w:rPr>
        <w:t>${line_review_bonus}</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color w:val="111111"/>
          <w:sz w:val="22"/>
          <w:szCs w:val="22"/>
          <w:highlight w:val="none"/>
          <w:shd w:val="clear" w:fill="auto"/>
        </w:rPr>
      </w:pPr>
      <w:r>
        <w:rPr>
          <w:rFonts w:hint="default" w:ascii="Times New Roman" w:hAnsi="Times New Roman" w:cs="Times New Roman"/>
          <w:b/>
          <w:color w:val="111111"/>
          <w:sz w:val="22"/>
          <w:szCs w:val="22"/>
          <w:highlight w:val="none"/>
          <w:shd w:val="clear" w:fill="auto"/>
        </w:rPr>
        <w:t>Date de la première échéance :</w:t>
      </w:r>
    </w:p>
    <w:p>
      <w:pPr>
        <w:shd w:val="clear"/>
        <w:tabs>
          <w:tab w:val="left" w:pos="708"/>
          <w:tab w:val="left" w:pos="1416"/>
          <w:tab w:val="left" w:pos="2124"/>
          <w:tab w:val="left" w:pos="2748"/>
          <w:tab w:val="left" w:pos="3708"/>
        </w:tabs>
        <w:spacing w:line="240" w:lineRule="auto"/>
        <w:ind w:left="720"/>
        <w:rPr>
          <w:rFonts w:hint="default" w:ascii="Times New Roman" w:hAnsi="Times New Roman" w:cs="Times New Roman"/>
          <w:b/>
          <w:color w:val="FF0000"/>
          <w:sz w:val="22"/>
          <w:szCs w:val="22"/>
          <w:highlight w:val="none"/>
        </w:rPr>
      </w:pPr>
      <w:r>
        <w:rPr>
          <w:rFonts w:hint="default" w:ascii="Times New Roman" w:hAnsi="Times New Roman" w:cs="Times New Roman"/>
          <w:b/>
          <w:color w:val="111111"/>
          <w:sz w:val="22"/>
          <w:szCs w:val="22"/>
          <w:highlight w:val="none"/>
          <w:shd w:val="clear" w:fill="auto"/>
        </w:rPr>
        <w:t>Date de dernière échéance :</w:t>
      </w:r>
      <w:r>
        <w:rPr>
          <w:rFonts w:hint="default" w:ascii="Times New Roman" w:hAnsi="Times New Roman" w:cs="Times New Roman"/>
          <w:b/>
          <w:color w:val="FF0000"/>
          <w:sz w:val="22"/>
          <w:szCs w:val="22"/>
          <w:highlight w:val="none"/>
        </w:rPr>
        <w:tab/>
      </w: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sz w:val="22"/>
          <w:szCs w:val="22"/>
          <w:highlight w:val="none"/>
        </w:rPr>
      </w:pPr>
    </w:p>
    <w:p>
      <w:pPr>
        <w:shd w:val="clear"/>
        <w:tabs>
          <w:tab w:val="left" w:pos="708"/>
          <w:tab w:val="left" w:pos="1416"/>
          <w:tab w:val="left" w:pos="2124"/>
          <w:tab w:val="left" w:pos="2748"/>
          <w:tab w:val="left" w:pos="3708"/>
        </w:tabs>
        <w:spacing w:line="240" w:lineRule="auto"/>
        <w:jc w:val="both"/>
        <w:rPr>
          <w:rFonts w:hint="default" w:ascii="Times New Roman" w:hAnsi="Times New Roman" w:cs="Times New Roman"/>
          <w:b/>
          <w:bCs/>
          <w:sz w:val="22"/>
          <w:szCs w:val="22"/>
          <w:highlight w:val="none"/>
          <w:u w:val="single"/>
        </w:rPr>
      </w:pPr>
      <w:r>
        <w:rPr>
          <w:rFonts w:hint="default" w:ascii="Times New Roman" w:hAnsi="Times New Roman" w:cs="Times New Roman"/>
          <w:b/>
          <w:sz w:val="24"/>
          <w:szCs w:val="24"/>
          <w:highlight w:val="none"/>
        </w:rPr>
        <w:t>Article 2</w:t>
      </w:r>
      <w:r>
        <w:rPr>
          <w:rFonts w:hint="default" w:ascii="Times New Roman" w:hAnsi="Times New Roman" w:cs="Times New Roman"/>
          <w:sz w:val="24"/>
          <w:szCs w:val="24"/>
          <w:highlight w:val="none"/>
        </w:rPr>
        <w:t> </w:t>
      </w:r>
      <w:r>
        <w:rPr>
          <w:rFonts w:hint="default" w:ascii="Times New Roman" w:hAnsi="Times New Roman" w:cs="Times New Roman"/>
          <w:b/>
          <w:bCs/>
          <w:sz w:val="24"/>
          <w:szCs w:val="24"/>
          <w:highlight w:val="none"/>
        </w:rPr>
        <w:t xml:space="preserve">: </w:t>
      </w:r>
      <w:r>
        <w:rPr>
          <w:rFonts w:hint="default" w:ascii="Times New Roman" w:hAnsi="Times New Roman" w:cs="Times New Roman"/>
          <w:b/>
          <w:bCs/>
          <w:sz w:val="24"/>
          <w:szCs w:val="24"/>
          <w:highlight w:val="none"/>
          <w:u w:val="single"/>
        </w:rPr>
        <w:t>Durée</w:t>
      </w:r>
      <w:r>
        <w:rPr>
          <w:rFonts w:hint="default" w:ascii="Times New Roman" w:hAnsi="Times New Roman" w:cs="Times New Roman"/>
          <w:sz w:val="24"/>
          <w:szCs w:val="24"/>
          <w:highlight w:val="none"/>
        </w:rPr>
        <w:tab/>
      </w:r>
      <w:r>
        <w:rPr>
          <w:rFonts w:hint="default" w:ascii="Times New Roman" w:hAnsi="Times New Roman" w:cs="Times New Roman"/>
          <w:sz w:val="24"/>
          <w:szCs w:val="24"/>
          <w:highlight w:val="none"/>
        </w:rPr>
        <w:tab/>
      </w:r>
      <w:r>
        <w:rPr>
          <w:rFonts w:hint="default" w:ascii="Times New Roman" w:hAnsi="Times New Roman" w:cs="Times New Roman"/>
          <w:sz w:val="22"/>
          <w:szCs w:val="22"/>
          <w:highlight w:val="none"/>
        </w:rPr>
        <w:tab/>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 Prêt est consenti pour une durée de </w:t>
      </w:r>
      <w:bookmarkStart w:id="2" w:name="_Hlk156214331"/>
      <w:r>
        <w:rPr>
          <w:rFonts w:hint="default" w:ascii="Times New Roman" w:hAnsi="Times New Roman" w:cs="Times New Roman"/>
          <w:sz w:val="22"/>
          <w:szCs w:val="22"/>
          <w:highlight w:val="none"/>
          <w:shd w:val="clear" w:fill="auto"/>
          <w:lang w:val="en-US"/>
        </w:rPr>
        <w:t>${verbal_trial.duration} (${verbal_trial.duration.fr}) mois</w:t>
      </w:r>
      <w:r>
        <w:rPr>
          <w:rFonts w:hint="default" w:ascii="Times New Roman" w:hAnsi="Times New Roman" w:cs="Times New Roman"/>
          <w:sz w:val="22"/>
          <w:szCs w:val="22"/>
          <w:highlight w:val="none"/>
          <w:shd w:val="clear" w:fill="auto"/>
        </w:rPr>
        <w:t xml:space="preserve"> avec possibilité de remboursement anticipé. Le remboursement se fera au moyen </w:t>
      </w:r>
      <w:bookmarkStart w:id="3" w:name="_Hlk73715632"/>
      <w:r>
        <w:rPr>
          <w:rFonts w:hint="default" w:ascii="Times New Roman" w:hAnsi="Times New Roman" w:cs="Times New Roman"/>
          <w:sz w:val="22"/>
          <w:szCs w:val="22"/>
          <w:highlight w:val="none"/>
          <w:shd w:val="clear" w:fill="auto"/>
        </w:rPr>
        <w:t>d</w:t>
      </w:r>
      <w:bookmarkStart w:id="4" w:name="_Hlk68252455"/>
      <w:r>
        <w:rPr>
          <w:rFonts w:hint="default" w:ascii="Times New Roman" w:hAnsi="Times New Roman" w:cs="Times New Roman"/>
          <w:sz w:val="22"/>
          <w:szCs w:val="22"/>
          <w:highlight w:val="none"/>
          <w:shd w:val="clear" w:fill="auto"/>
        </w:rPr>
        <w:t xml:space="preserve">e ${number_of_due_dates} </w:t>
      </w:r>
      <w:bookmarkEnd w:id="3"/>
      <w:r>
        <w:rPr>
          <w:rFonts w:hint="default" w:ascii="Times New Roman" w:hAnsi="Times New Roman" w:cs="Times New Roman"/>
          <w:b/>
          <w:bCs/>
          <w:sz w:val="22"/>
          <w:szCs w:val="22"/>
          <w:highlight w:val="none"/>
          <w:shd w:val="clear" w:fill="auto"/>
        </w:rPr>
        <w:t>${verbal_trial.periodicity.fr3}</w:t>
      </w:r>
      <w:r>
        <w:rPr>
          <w:rFonts w:hint="default" w:ascii="Times New Roman" w:hAnsi="Times New Roman" w:cs="Times New Roman"/>
          <w:b/>
          <w:sz w:val="22"/>
          <w:szCs w:val="22"/>
          <w:highlight w:val="none"/>
          <w:shd w:val="clear" w:fill="auto"/>
        </w:rPr>
        <w:t xml:space="preserve">, avec </w:t>
      </w:r>
      <w:bookmarkStart w:id="5" w:name="_Hlk78957570"/>
      <w:r>
        <w:rPr>
          <w:rFonts w:hint="default" w:ascii="Times New Roman" w:hAnsi="Times New Roman" w:cs="Times New Roman"/>
          <w:b/>
          <w:sz w:val="22"/>
          <w:szCs w:val="22"/>
          <w:highlight w:val="none"/>
          <w:shd w:val="clear" w:fill="auto"/>
        </w:rPr>
        <w:t xml:space="preserve">une échéance d’un montant </w:t>
      </w:r>
      <w:bookmarkStart w:id="6" w:name="_Hlk81292668"/>
      <w:r>
        <w:rPr>
          <w:rFonts w:hint="default" w:ascii="Times New Roman" w:hAnsi="Times New Roman" w:cs="Times New Roman"/>
          <w:b/>
          <w:sz w:val="22"/>
          <w:szCs w:val="22"/>
          <w:highlight w:val="none"/>
          <w:shd w:val="clear" w:fill="auto"/>
        </w:rPr>
        <w:t xml:space="preserve">de </w:t>
      </w:r>
      <w:bookmarkEnd w:id="4"/>
      <w:bookmarkEnd w:id="5"/>
      <w:bookmarkEnd w:id="6"/>
      <w:r>
        <w:rPr>
          <w:rFonts w:hint="default" w:ascii="Times New Roman" w:hAnsi="Times New Roman" w:cs="Times New Roman"/>
          <w:b/>
          <w:sz w:val="22"/>
          <w:szCs w:val="22"/>
          <w:highlight w:val="none"/>
          <w:shd w:val="clear" w:fill="auto"/>
        </w:rPr>
        <w:t xml:space="preserve">${verbal_trial.due_amount} (${verbal_trial.due_amount.fr}) F CFA </w:t>
      </w:r>
      <w:bookmarkEnd w:id="2"/>
      <w:r>
        <w:rPr>
          <w:rFonts w:hint="default" w:ascii="Times New Roman" w:hAnsi="Times New Roman" w:cs="Times New Roman"/>
          <w:b/>
          <w:sz w:val="22"/>
          <w:szCs w:val="22"/>
          <w:highlight w:val="none"/>
          <w:shd w:val="clear" w:fill="auto"/>
          <w:lang w:val="en-US"/>
        </w:rPr>
        <w:t>${verbal_trial.periodicity.fr2}</w:t>
      </w:r>
      <w:r>
        <w:rPr>
          <w:rFonts w:hint="default" w:ascii="Times New Roman" w:hAnsi="Times New Roman" w:cs="Times New Roman"/>
          <w:b/>
          <w:sz w:val="22"/>
          <w:szCs w:val="22"/>
          <w:highlight w:val="none"/>
          <w:shd w:val="clear" w:fill="auto"/>
        </w:rPr>
        <w:t xml:space="preserve">. </w:t>
      </w:r>
    </w:p>
    <w:p>
      <w:pPr>
        <w:shd w:val="clear"/>
        <w:spacing w:line="240" w:lineRule="auto"/>
        <w:jc w:val="left"/>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 xml:space="preserve">La première échéance du prêt est prévue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et la dernière échéance </w:t>
      </w:r>
      <w:r>
        <w:rPr>
          <w:rFonts w:hint="default" w:ascii="Times New Roman" w:hAnsi="Times New Roman" w:cs="Times New Roman"/>
          <w:color w:val="111111"/>
          <w:sz w:val="22"/>
          <w:szCs w:val="22"/>
          <w:highlight w:val="none"/>
          <w:shd w:val="clear" w:fill="auto"/>
        </w:rPr>
        <w:t>le ……………………………..</w:t>
      </w:r>
      <w:r>
        <w:rPr>
          <w:rFonts w:hint="default" w:ascii="Times New Roman" w:hAnsi="Times New Roman" w:cs="Times New Roman"/>
          <w:sz w:val="22"/>
          <w:szCs w:val="22"/>
          <w:highlight w:val="none"/>
        </w:rPr>
        <w:t xml:space="preserve"> comme il ressort du tableau d’amortissement faisant foi joint en annexe.</w:t>
      </w:r>
    </w:p>
    <w:p>
      <w:pPr>
        <w:shd w:val="clear"/>
        <w:spacing w:line="240" w:lineRule="auto"/>
        <w:jc w:val="both"/>
        <w:rPr>
          <w:rFonts w:hint="default" w:ascii="Times New Roman" w:hAnsi="Times New Roman" w:cs="Times New Roman"/>
          <w:b/>
          <w:bCs/>
          <w:sz w:val="24"/>
          <w:szCs w:val="24"/>
          <w:highlight w:val="none"/>
        </w:rPr>
      </w:pPr>
      <w:r>
        <w:rPr>
          <w:rFonts w:hint="default" w:ascii="Times New Roman" w:hAnsi="Times New Roman" w:cs="Times New Roman"/>
          <w:b/>
          <w:sz w:val="24"/>
          <w:szCs w:val="24"/>
          <w:highlight w:val="none"/>
        </w:rPr>
        <w:t>Article 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Mise à disposition du Prêt – Comptabilisation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opérations relatives au remboursement du présent prêt (intérêts et principal) seront retracées dans le compte N° </w:t>
      </w:r>
      <w:r>
        <w:rPr>
          <w:rFonts w:hint="default" w:ascii="Times New Roman" w:hAnsi="Times New Roman" w:cs="Times New Roman"/>
          <w:sz w:val="22"/>
          <w:szCs w:val="22"/>
          <w:highlight w:val="none"/>
          <w:shd w:val="clear" w:fill="auto"/>
        </w:rPr>
        <w:t>${verbal_trial.account_number}</w:t>
      </w:r>
      <w:r>
        <w:rPr>
          <w:rFonts w:hint="default" w:ascii="Times New Roman" w:hAnsi="Times New Roman" w:cs="Times New Roman"/>
          <w:b/>
          <w:sz w:val="22"/>
          <w:szCs w:val="22"/>
          <w:highlight w:val="none"/>
          <w:shd w:val="clear" w:fill="auto"/>
        </w:rPr>
        <w:t xml:space="preserve"> </w:t>
      </w:r>
      <w:r>
        <w:rPr>
          <w:rFonts w:hint="default" w:ascii="Times New Roman" w:hAnsi="Times New Roman" w:cs="Times New Roman"/>
          <w:sz w:val="22"/>
          <w:szCs w:val="22"/>
          <w:highlight w:val="none"/>
          <w:shd w:val="clear" w:fill="auto"/>
        </w:rPr>
        <w:t>d</w:t>
      </w:r>
      <w:r>
        <w:rPr>
          <w:rFonts w:hint="default" w:ascii="Times New Roman" w:hAnsi="Times New Roman" w:cs="Times New Roman"/>
          <w:sz w:val="22"/>
          <w:szCs w:val="22"/>
          <w:highlight w:val="none"/>
        </w:rPr>
        <w:t>omicilié à COFINA Togo SA.</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4</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Destination des fonds</w:t>
      </w:r>
    </w:p>
    <w:p>
      <w:pPr>
        <w:shd w:val="clear"/>
        <w:spacing w:line="240" w:lineRule="auto"/>
        <w:jc w:val="left"/>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4.1.L’Emprunteur déclare que les fonds sont destinés à ${verbal_trial.purpose_of_financing}.</w:t>
      </w:r>
      <w:bookmarkStart w:id="7" w:name="_Hlk156214266"/>
      <w:bookmarkEnd w:id="7"/>
    </w:p>
    <w:p>
      <w:pPr>
        <w:shd w:val="clear"/>
        <w:spacing w:line="240" w:lineRule="auto"/>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bCs/>
          <w:sz w:val="24"/>
          <w:szCs w:val="24"/>
          <w:highlight w:val="none"/>
        </w:rPr>
        <w:t xml:space="preserve">Article 5 : </w:t>
      </w:r>
      <w:r>
        <w:rPr>
          <w:rFonts w:hint="default" w:ascii="Times New Roman" w:hAnsi="Times New Roman" w:cs="Times New Roman"/>
          <w:b/>
          <w:bCs/>
          <w:sz w:val="24"/>
          <w:szCs w:val="24"/>
          <w:highlight w:val="none"/>
          <w:u w:val="single"/>
        </w:rPr>
        <w:t xml:space="preserve">Intérêts et mode de remboursement </w:t>
      </w: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5.1 </w:t>
      </w:r>
      <w:r>
        <w:rPr>
          <w:rFonts w:hint="default" w:ascii="Times New Roman" w:hAnsi="Times New Roman" w:cs="Times New Roman"/>
          <w:b/>
          <w:bCs/>
          <w:sz w:val="24"/>
          <w:szCs w:val="24"/>
          <w:highlight w:val="none"/>
          <w:u w:val="single"/>
        </w:rPr>
        <w:t xml:space="preserve">Intérêts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s'oblige à payer, sur le montant en principal du Prêt non échu,</w:t>
      </w:r>
      <w:r>
        <w:rPr>
          <w:rFonts w:hint="default" w:ascii="Times New Roman" w:hAnsi="Times New Roman" w:cs="Times New Roman"/>
          <w:b/>
          <w:sz w:val="22"/>
          <w:szCs w:val="22"/>
          <w:highlight w:val="none"/>
          <w:shd w:val="clear" w:fill="auto"/>
        </w:rPr>
        <w:t xml:space="preserve"> ${total_amount_of_interest}</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F CFA (${total_amount_of_interest.fr} F CFA),</w:t>
      </w:r>
      <w:r>
        <w:rPr>
          <w:rFonts w:hint="default" w:ascii="Times New Roman" w:hAnsi="Times New Roman" w:cs="Times New Roman"/>
          <w:sz w:val="22"/>
          <w:szCs w:val="22"/>
          <w:highlight w:val="none"/>
        </w:rPr>
        <w:t xml:space="preserve"> déterminés sur la base d'un taux fixé à ${ht_rate} % hors taxes.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intérêts seront payables par l'Emprunteur mensuellement sur le capital échu et seront compris dans les remboursements périodiques mentionnés à l'article 6 ci-dessous.</w:t>
      </w:r>
    </w:p>
    <w:p>
      <w:pPr>
        <w:shd w:val="clear"/>
        <w:spacing w:line="240" w:lineRule="auto"/>
        <w:jc w:val="both"/>
        <w:rPr>
          <w:rFonts w:hint="default" w:ascii="Times New Roman" w:hAnsi="Times New Roman" w:cs="Times New Roman"/>
          <w:b/>
          <w:sz w:val="22"/>
          <w:szCs w:val="22"/>
          <w:highlight w:val="none"/>
          <w:u w:val="single"/>
        </w:rPr>
      </w:pPr>
    </w:p>
    <w:p>
      <w:pPr>
        <w:shd w:val="clear"/>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 xml:space="preserve">5.2 Mode de remboursement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${contract.verbal_trial.day_due_amount.fr}(${contract.verbal_trial.day_due_amount})</w:t>
      </w:r>
      <w:r>
        <w:rPr>
          <w:rFonts w:hint="default" w:ascii="Times New Roman" w:hAnsi="Times New Roman" w:cs="Times New Roman"/>
          <w:sz w:val="22"/>
          <w:szCs w:val="22"/>
          <w:highlight w:val="none"/>
        </w:rPr>
        <w:t xml:space="preserve">, collecté par les agents accrédités de COFINA TOGO SA à cet effet, contre signature du carnet de collecte ou délivrance d’un reçu dument signé par l’agent.  </w:t>
      </w:r>
    </w:p>
    <w:p>
      <w:pPr>
        <w:shd w:val="clear"/>
        <w:tabs>
          <w:tab w:val="left" w:pos="3564"/>
        </w:tabs>
        <w:spacing w:line="240" w:lineRule="auto"/>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rPr>
        <w:t xml:space="preserve">Article 6 : </w:t>
      </w:r>
      <w:r>
        <w:rPr>
          <w:rFonts w:hint="default" w:ascii="Times New Roman" w:hAnsi="Times New Roman" w:cs="Times New Roman"/>
          <w:b/>
          <w:sz w:val="24"/>
          <w:szCs w:val="24"/>
          <w:highlight w:val="none"/>
          <w:u w:val="single"/>
        </w:rPr>
        <w:t>Principal</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6.1 L'Emprunteur s'oblige à rembourser le montant en principal du prêt soit </w:t>
      </w:r>
      <w:bookmarkStart w:id="8" w:name="_Hlk72913289"/>
      <w:r>
        <w:rPr>
          <w:rFonts w:hint="default" w:ascii="Times New Roman" w:hAnsi="Times New Roman" w:cs="Times New Roman"/>
          <w:sz w:val="22"/>
          <w:szCs w:val="22"/>
          <w:highlight w:val="none"/>
        </w:rPr>
        <w:t xml:space="preserve">de </w:t>
      </w:r>
      <w:bookmarkEnd w:id="8"/>
      <w:r>
        <w:rPr>
          <w:rFonts w:hint="default" w:ascii="Times New Roman" w:hAnsi="Times New Roman" w:cs="Times New Roman"/>
          <w:sz w:val="22"/>
          <w:szCs w:val="22"/>
          <w:highlight w:val="none"/>
        </w:rPr>
        <w:t xml:space="preserve"> ${total_to_pay}</w:t>
      </w:r>
      <w:r>
        <w:rPr>
          <w:rFonts w:hint="default" w:ascii="Times New Roman" w:hAnsi="Times New Roman" w:cs="Times New Roman"/>
          <w:sz w:val="22"/>
          <w:szCs w:val="22"/>
          <w:highlight w:val="none"/>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 xml:space="preserve">comprenant la somme nécessaire à l’amortissement du capital et les intérêts au taux stipulé à l’article 5 ci-dessus. </w:t>
      </w:r>
    </w:p>
    <w:p>
      <w:pPr>
        <w:shd w:val="clear"/>
        <w:spacing w:line="240" w:lineRule="auto"/>
        <w:jc w:val="both"/>
        <w:rPr>
          <w:rFonts w:hint="default" w:ascii="Times New Roman" w:hAnsi="Times New Roman" w:cs="Times New Roman"/>
          <w:b/>
          <w:bCs/>
          <w:sz w:val="24"/>
          <w:szCs w:val="24"/>
          <w:highlight w:val="none"/>
          <w:u w:val="single"/>
        </w:rPr>
      </w:pPr>
      <w:r>
        <w:rPr>
          <w:rFonts w:hint="default" w:ascii="Times New Roman" w:hAnsi="Times New Roman" w:cs="Times New Roman"/>
          <w:b/>
          <w:sz w:val="24"/>
          <w:szCs w:val="24"/>
          <w:highlight w:val="none"/>
        </w:rPr>
        <w:t>Article 7</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Intérêts de retard</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7.2 Le taux d'intérêt appliqué sera majoré de 0,2% de l'échéance due plus un montant de 1000F forfaitaire. Il sera appliqué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de retard, étant considéré que dès le 1</w:t>
      </w:r>
      <w:r>
        <w:rPr>
          <w:rFonts w:hint="default" w:ascii="Times New Roman" w:hAnsi="Times New Roman" w:cs="Times New Roman"/>
          <w:sz w:val="22"/>
          <w:szCs w:val="22"/>
          <w:highlight w:val="none"/>
          <w:vertAlign w:val="superscript"/>
        </w:rPr>
        <w:t>er</w:t>
      </w:r>
      <w:r>
        <w:rPr>
          <w:rFonts w:hint="default" w:ascii="Times New Roman" w:hAnsi="Times New Roman" w:cs="Times New Roman"/>
          <w:sz w:val="22"/>
          <w:szCs w:val="22"/>
          <w:highlight w:val="none"/>
        </w:rPr>
        <w:t xml:space="preserve"> jour, le mois entier sera dû</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7.3 Les intérêts, et ce compris les intérêts de retard, porteront eux-mêmes intérêt au taux défini au présent article s'ils sont dus pour une année entière.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8</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Garanties et conforts</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 la sûreté et garantie du remboursement du présent prêt, soit la somme soit </w:t>
      </w:r>
      <w:r>
        <w:rPr>
          <w:rFonts w:hint="default" w:ascii="Times New Roman" w:hAnsi="Times New Roman" w:cs="Times New Roman"/>
          <w:b/>
          <w:sz w:val="22"/>
          <w:szCs w:val="22"/>
          <w:highlight w:val="none"/>
          <w:shd w:val="clear" w:fill="auto"/>
        </w:rPr>
        <w:t>${total_to_pay}</w:t>
      </w:r>
      <w:r>
        <w:rPr>
          <w:rFonts w:hint="default" w:ascii="Times New Roman" w:hAnsi="Times New Roman" w:cs="Times New Roman"/>
          <w:b/>
          <w:sz w:val="22"/>
          <w:szCs w:val="22"/>
          <w:highlight w:val="none"/>
          <w:shd w:val="clear" w:fill="auto"/>
          <w:lang w:val="en-US"/>
        </w:rPr>
        <w:t xml:space="preserve"> </w:t>
      </w:r>
      <w:r>
        <w:rPr>
          <w:rFonts w:hint="default" w:ascii="Times New Roman" w:hAnsi="Times New Roman" w:cs="Times New Roman"/>
          <w:b/>
          <w:sz w:val="22"/>
          <w:szCs w:val="22"/>
          <w:highlight w:val="none"/>
          <w:shd w:val="clear" w:fill="auto"/>
        </w:rPr>
        <w:t xml:space="preserve">F CFA, Soit ${total_to_pay.fr} F CFA </w:t>
      </w:r>
      <w:r>
        <w:rPr>
          <w:rFonts w:hint="default" w:ascii="Times New Roman" w:hAnsi="Times New Roman" w:cs="Times New Roman"/>
          <w:sz w:val="22"/>
          <w:szCs w:val="22"/>
          <w:highlight w:val="none"/>
          <w:shd w:val="clear" w:fill="auto"/>
        </w:rPr>
        <w:t xml:space="preserve">soit le montant du crédit + </w:t>
      </w:r>
      <w:r>
        <w:rPr>
          <w:rFonts w:hint="default" w:ascii="Times New Roman" w:hAnsi="Times New Roman" w:cs="Times New Roman"/>
          <w:b/>
          <w:sz w:val="22"/>
          <w:szCs w:val="22"/>
          <w:highlight w:val="none"/>
          <w:shd w:val="clear" w:fill="auto"/>
        </w:rPr>
        <w:t>${total_amount_of_interest} (${total_amount_of_interest.fr}),</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numPr>
          <w:ilvl w:val="0"/>
          <w:numId w:val="1"/>
        </w:num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${type_of_guarantee.name} de ${value}</w:t>
      </w:r>
      <w:r>
        <w:rPr>
          <w:rFonts w:hint="default" w:ascii="Times New Roman" w:hAnsi="Times New Roman" w:cs="Times New Roman"/>
          <w:sz w:val="22"/>
          <w:szCs w:val="22"/>
          <w:highlight w:val="none"/>
          <w:lang w:val="en-US"/>
        </w:rPr>
        <w:t xml:space="preserve"> FCFA: </w:t>
      </w:r>
      <w:r>
        <w:rPr>
          <w:rFonts w:hint="default" w:ascii="Times New Roman" w:hAnsi="Times New Roman" w:cs="Times New Roman"/>
          <w:sz w:val="22"/>
          <w:szCs w:val="22"/>
          <w:highlight w:val="none"/>
        </w:rPr>
        <w:t> ${comment}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${/guaranteeList}</w:t>
      </w: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shd w:val="clear"/>
        <w:tabs>
          <w:tab w:val="left" w:pos="3660"/>
        </w:tabs>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9</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Exigibilité anticipée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Situation du Client irrémédiablement compromise ou comportement gravement répréhensible, ainsi que tous les cas où la loi le permet.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décès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l’institution Centrale de la signature du Client,</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affectation du prêt à un objet autre que celui visé à l'article 1 des présentes,</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dont l’institution doit bénéficier pour sûreté du présent prêt n’étaient  pas constituées ou maintenues ou si les garanties ne venaient pas au rang convenu,</w:t>
      </w:r>
    </w:p>
    <w:p>
      <w:pPr>
        <w:shd w:val="clear"/>
        <w:spacing w:before="0" w:after="0" w:line="240" w:lineRule="auto"/>
        <w:ind w:left="720"/>
        <w:jc w:val="both"/>
        <w:rPr>
          <w:rFonts w:hint="default" w:ascii="Times New Roman" w:hAnsi="Times New Roman" w:cs="Times New Roman"/>
          <w:sz w:val="22"/>
          <w:szCs w:val="22"/>
          <w:highlight w:val="none"/>
        </w:rPr>
      </w:pP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shd w:val="clear"/>
        <w:spacing w:before="0" w:after="0"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shd w:val="clear"/>
        <w:spacing w:line="240" w:lineRule="auto"/>
        <w:jc w:val="both"/>
        <w:rPr>
          <w:rFonts w:hint="default" w:ascii="Times New Roman" w:hAnsi="Times New Roman" w:cs="Times New Roman"/>
          <w:b/>
          <w:sz w:val="22"/>
          <w:szCs w:val="22"/>
          <w:highlight w:val="none"/>
        </w:rPr>
      </w:pP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10</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 xml:space="preserve">Divers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10.1 En aucun cas, l'Emprunteur ne pourra opposer à l’institution, dans le cadre de la présente Convention, des réclamations ou des exceptions quelles qu'elles soient, tirées de toute autre convention la liant avec elle.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hd w:val="clear"/>
        <w:spacing w:line="240" w:lineRule="auto"/>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10.3 Tous préavis, avis, accords ou communications relatifs aux présentes devront être envoyés en langue française par courrier recommandé ou transmis par porteur avec cahier de transmission, ou par télécopie suivie d'une confirmation courrier.</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10.5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11</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Cession</w:t>
      </w:r>
      <w:r>
        <w:rPr>
          <w:rFonts w:hint="default" w:ascii="Times New Roman" w:hAnsi="Times New Roman" w:cs="Times New Roman"/>
          <w:b/>
          <w:bCs/>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L’institution pourra céder ses droits et obligations en vertu du présent contrat de Prêt.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En cas de survenance d’une telle éventualité, l’institution s’engage à ce que la cession n’entraine aucun coût supplémentaire pour l’Emprunteur. </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12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Impôts et frais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hd w:val="clea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13</w:t>
      </w:r>
      <w:r>
        <w:rPr>
          <w:rFonts w:hint="default" w:ascii="Times New Roman" w:hAnsi="Times New Roman" w:cs="Times New Roman"/>
          <w:sz w:val="24"/>
          <w:szCs w:val="24"/>
          <w:highlight w:val="none"/>
        </w:rPr>
        <w:t xml:space="preserve"> : </w:t>
      </w:r>
      <w:r>
        <w:rPr>
          <w:rFonts w:hint="default" w:ascii="Times New Roman" w:hAnsi="Times New Roman" w:cs="Times New Roman"/>
          <w:b/>
          <w:bCs/>
          <w:sz w:val="24"/>
          <w:szCs w:val="24"/>
          <w:highlight w:val="none"/>
          <w:u w:val="single"/>
        </w:rPr>
        <w:t>Droit applicable et attribution de compétence</w:t>
      </w:r>
      <w:r>
        <w:rPr>
          <w:rFonts w:hint="default" w:ascii="Times New Roman" w:hAnsi="Times New Roman" w:cs="Times New Roman"/>
          <w:sz w:val="24"/>
          <w:szCs w:val="24"/>
          <w:highlight w:val="none"/>
        </w:rPr>
        <w:t xml:space="preserv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13.1 Le Contrat est régi par le droit Togolais.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13.2 Tout litige qui pourrait naître de l’interprétation et/ou de l’exécution du Contrat, qui n’aura pas été réglé à l’amiable, sera de la compétence des juridictions Togolaises.</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Fait à Lomé, le ………………</w:t>
      </w:r>
    </w:p>
    <w:p>
      <w:pPr>
        <w:shd w:val="clear"/>
        <w:spacing w:line="240" w:lineRule="auto"/>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En Trois (03) exemplaires </w:t>
      </w:r>
    </w:p>
    <w:p>
      <w:pPr>
        <w:shd w:val="clear"/>
        <w:jc w:val="center"/>
        <w:rPr>
          <w:rFonts w:hint="default" w:ascii="Times New Roman" w:hAnsi="Times New Roman" w:cs="Times New Roman"/>
          <w:b/>
          <w:sz w:val="22"/>
          <w:szCs w:val="22"/>
          <w:highlight w:val="none"/>
        </w:rPr>
      </w:pPr>
    </w:p>
    <w:tbl>
      <w:tblPr>
        <w:tblStyle w:val="11"/>
        <w:tblpPr w:leftFromText="180" w:rightFromText="180" w:vertAnchor="text" w:horzAnchor="page" w:tblpX="7652" w:tblpY="385"/>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59"/>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492" w:hRule="atLeast"/>
        </w:trPr>
        <w:tc>
          <w:tcPr>
            <w:tcW w:w="3059" w:type="dxa"/>
            <w:tcBorders>
              <w:tl2br w:val="nil"/>
              <w:tr2bl w:val="nil"/>
            </w:tcBorders>
          </w:tcPr>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
                <w:bCs/>
                <w:iCs/>
                <w:color w:val="000000"/>
                <w:sz w:val="22"/>
                <w:szCs w:val="22"/>
                <w:highlight w:val="none"/>
                <w:shd w:val="clear" w:fill="auto"/>
              </w:rPr>
              <w:t>${signatory}</w:t>
            </w:r>
          </w:p>
        </w:tc>
      </w:tr>
    </w:tbl>
    <w:p>
      <w:pPr>
        <w:shd w:val="clear"/>
        <w:jc w:val="center"/>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Pour l’Institution</w:t>
      </w:r>
    </w:p>
    <w:tbl>
      <w:tblPr>
        <w:tblStyle w:val="11"/>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624"/>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1357" w:hRule="atLeast"/>
        </w:trPr>
        <w:tc>
          <w:tcPr>
            <w:tcW w:w="3624" w:type="dxa"/>
            <w:tcBorders>
              <w:tl2br w:val="nil"/>
              <w:tr2bl w:val="nil"/>
            </w:tcBorders>
          </w:tcPr>
          <w:p>
            <w:pPr>
              <w:shd w:val="clear"/>
              <w:spacing w:before="0" w:after="0"/>
              <w:rPr>
                <w:rFonts w:hint="default" w:ascii="Times New Roman" w:hAnsi="Times New Roman" w:cs="Times New Roman"/>
                <w:b/>
                <w:bCs/>
                <w:iCs/>
                <w:color w:val="000000"/>
                <w:sz w:val="22"/>
                <w:szCs w:val="22"/>
                <w:highlight w:val="none"/>
              </w:rPr>
            </w:pPr>
            <w:r>
              <w:rPr>
                <w:rFonts w:hint="default" w:ascii="Times New Roman" w:hAnsi="Times New Roman" w:cs="Times New Roman"/>
                <w:b/>
                <w:bCs/>
                <w:iCs/>
                <w:sz w:val="22"/>
                <w:szCs w:val="22"/>
                <w:highlight w:val="none"/>
              </w:rPr>
              <w:t xml:space="preserve">Mme. Christèle F. R. FEBON </w:t>
            </w:r>
            <w:r>
              <w:rPr>
                <w:rFonts w:hint="default" w:ascii="Times New Roman" w:hAnsi="Times New Roman" w:cs="Times New Roman"/>
                <w:bCs/>
                <w:iCs/>
                <w:sz w:val="22"/>
                <w:szCs w:val="22"/>
                <w:highlight w:val="none"/>
              </w:rPr>
              <w:t>épse</w:t>
            </w:r>
            <w:r>
              <w:rPr>
                <w:rFonts w:hint="default" w:ascii="Times New Roman" w:hAnsi="Times New Roman" w:cs="Times New Roman"/>
                <w:b/>
                <w:bCs/>
                <w:iCs/>
                <w:sz w:val="22"/>
                <w:szCs w:val="22"/>
                <w:highlight w:val="none"/>
              </w:rPr>
              <w:t xml:space="preserve"> JOHNSON        </w:t>
            </w:r>
          </w:p>
          <w:p>
            <w:pPr>
              <w:shd w:val="clear"/>
              <w:rPr>
                <w:rFonts w:hint="default" w:ascii="Times New Roman" w:hAnsi="Times New Roman" w:cs="Times New Roman"/>
                <w:b/>
                <w:sz w:val="22"/>
                <w:szCs w:val="22"/>
                <w:highlight w:val="none"/>
                <w:vertAlign w:val="baseline"/>
              </w:rPr>
            </w:pPr>
            <w:r>
              <w:rPr>
                <w:rFonts w:hint="default" w:ascii="Times New Roman" w:hAnsi="Times New Roman" w:cs="Times New Roman"/>
                <w:bCs/>
                <w:iCs/>
                <w:sz w:val="22"/>
                <w:szCs w:val="22"/>
                <w:highlight w:val="none"/>
              </w:rPr>
              <w:t>Directrice d’exploitation</w:t>
            </w:r>
          </w:p>
        </w:tc>
      </w:tr>
    </w:tbl>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sz w:val="22"/>
          <w:szCs w:val="22"/>
          <w:highlight w:val="none"/>
        </w:rPr>
      </w:pPr>
    </w:p>
    <w:p>
      <w:pPr>
        <w:shd w:val="clear"/>
        <w:rPr>
          <w:rFonts w:hint="default" w:ascii="Times New Roman" w:hAnsi="Times New Roman" w:cs="Times New Roman"/>
          <w:b/>
          <w:bCs/>
          <w:iCs/>
          <w:sz w:val="22"/>
          <w:szCs w:val="22"/>
          <w:highlight w:val="none"/>
        </w:rPr>
      </w:pPr>
      <w:r>
        <w:rPr>
          <w:rFonts w:hint="default" w:ascii="Times New Roman" w:hAnsi="Times New Roman" w:cs="Times New Roman"/>
          <w:bCs/>
          <w:iCs/>
          <w:sz w:val="22"/>
          <w:szCs w:val="22"/>
          <w:highlight w:val="none"/>
        </w:rPr>
        <w:t xml:space="preserve">                                   </w:t>
      </w:r>
    </w:p>
    <w:p>
      <w:pPr>
        <w:shd w:val="clear"/>
        <w:rPr>
          <w:rFonts w:hint="default" w:ascii="Times New Roman" w:hAnsi="Times New Roman" w:cs="Times New Roman"/>
          <w:sz w:val="22"/>
          <w:szCs w:val="22"/>
          <w:highlight w:val="none"/>
        </w:rPr>
      </w:pPr>
      <w:r>
        <w:rPr>
          <w:rFonts w:hint="default" w:ascii="Times New Roman" w:hAnsi="Times New Roman" w:cs="Times New Roman"/>
          <w:b/>
          <w:bCs/>
          <w:sz w:val="22"/>
          <w:szCs w:val="22"/>
          <w:highlight w:val="none"/>
        </w:rPr>
        <w:t xml:space="preserve">                                                      </w:t>
      </w:r>
    </w:p>
    <w:p>
      <w:pPr>
        <w:shd w:val="clear"/>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sz w:val="22"/>
          <w:szCs w:val="22"/>
          <w:highlight w:val="none"/>
          <w:shd w:val="clear" w:fill="auto"/>
        </w:rPr>
        <w:t xml:space="preserve">Pour le Client </w:t>
      </w:r>
    </w:p>
    <w:p>
      <w:pPr>
        <w:shd w:val="clear"/>
        <w:jc w:val="center"/>
        <w:rPr>
          <w:rFonts w:hint="default" w:ascii="Times New Roman" w:hAnsi="Times New Roman" w:cs="Times New Roman"/>
          <w:b/>
          <w:bCs/>
          <w:sz w:val="22"/>
          <w:szCs w:val="22"/>
          <w:highlight w:val="none"/>
          <w:lang w:val="en-US"/>
        </w:rPr>
      </w:pPr>
      <w:bookmarkStart w:id="9" w:name="_Hlk156213304"/>
      <w:r>
        <w:rPr>
          <w:rFonts w:hint="default" w:ascii="Times New Roman" w:hAnsi="Times New Roman" w:cs="Times New Roman"/>
          <w:b/>
          <w:sz w:val="22"/>
          <w:szCs w:val="22"/>
          <w:highlight w:val="none"/>
          <w:lang w:val="en-US"/>
        </w:rPr>
        <w:t>${individual_business.denomination}</w:t>
      </w:r>
    </w:p>
    <w:bookmarkEnd w:id="9"/>
    <w:p>
      <w:pPr>
        <w:shd w:val="clear"/>
        <w:jc w:val="center"/>
        <w:rPr>
          <w:rFonts w:hint="default" w:ascii="Times New Roman" w:hAnsi="Times New Roman" w:cs="Times New Roman"/>
          <w:b/>
          <w:sz w:val="22"/>
          <w:szCs w:val="22"/>
          <w:highlight w:val="none"/>
        </w:rPr>
      </w:pPr>
    </w:p>
    <w:p>
      <w:pPr>
        <w:shd w:val="clear"/>
        <w:jc w:val="center"/>
        <w:rPr>
          <w:rFonts w:hint="default" w:ascii="Times New Roman" w:hAnsi="Times New Roman" w:cs="Times New Roman"/>
          <w:b/>
          <w:bCs w:val="0"/>
          <w:sz w:val="22"/>
          <w:szCs w:val="22"/>
          <w:highlight w:val="none"/>
        </w:rPr>
      </w:pPr>
    </w:p>
    <w:p>
      <w:pPr>
        <w:shd w:val="clear"/>
        <w:spacing w:before="0" w:after="200"/>
        <w:jc w:val="center"/>
        <w:rPr>
          <w:rFonts w:hint="default" w:ascii="Times New Roman" w:hAnsi="Times New Roman" w:cs="Times New Roman"/>
          <w:sz w:val="22"/>
          <w:szCs w:val="22"/>
          <w:highlight w:val="none"/>
          <w:shd w:val="clear" w:fill="auto"/>
        </w:rPr>
      </w:pPr>
      <w:r>
        <w:rPr>
          <w:rFonts w:hint="default" w:ascii="Times New Roman" w:hAnsi="Times New Roman" w:cs="Times New Roman"/>
          <w:b/>
          <w:bCs w:val="0"/>
          <w:iCs/>
          <w:sz w:val="22"/>
          <w:szCs w:val="22"/>
          <w:highlight w:val="none"/>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Borders>
        <w:top w:val="none" w:sz="0" w:space="0"/>
        <w:left w:val="none" w:sz="0" w:space="0"/>
        <w:bottom w:val="none" w:sz="0" w:space="0"/>
        <w:right w:val="none" w:sz="0" w:space="0"/>
      </w:pgBorders>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panose1 w:val="00000000000000000000"/>
    <w:charset w:val="00"/>
    <w:family w:val="auto"/>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panose1 w:val="020B0604030504040204"/>
    <w:charset w:val="01"/>
    <w:family w:val="roman"/>
    <w:pitch w:val="default"/>
    <w:sig w:usb0="800022EF" w:usb1="C000205A" w:usb2="00000008" w:usb3="00000000" w:csb0="20000057" w:csb1="0008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panose1 w:val="050501020107060205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rPr>
        <w:rFonts w:ascii="Times New Roman" w:hAnsi="Times New Roman"/>
        <w:b/>
        <w:highlight w:val="none"/>
      </w:rPr>
    </w:pPr>
    <w:r>
      <w:rPr>
        <w:sz w:val="16"/>
        <w:szCs w:val="16"/>
        <w:highlight w:val="none"/>
      </w:rPr>
      <w:t>CONTRAT DE CREDIT COFINA –</w:t>
    </w:r>
    <w:r>
      <w:rPr>
        <w:rFonts w:ascii="Times New Roman" w:hAnsi="Times New Roman"/>
        <w:b/>
        <w:highlight w:val="none"/>
      </w:rPr>
      <w:t xml:space="preserve"> </w:t>
    </w:r>
    <w:r>
      <w:rPr>
        <w:rFonts w:hint="default" w:ascii="Times New Roman" w:hAnsi="Times New Roman"/>
        <w:b/>
        <w:highlight w:val="none"/>
      </w:rPr>
      <w:t>${individual_business.denomination}</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3"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XMdIb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wOkJAK8BAACA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4</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rFonts w:hint="default"/>
      </w:rPr>
    </w:pPr>
    <w:r>
      <w:rPr>
        <w:rFonts w:hint="default"/>
      </w:rPr>
      <w:t>N°${verbal_trial.committee_id}</w:t>
    </w:r>
  </w:p>
  <w:p>
    <w:pPr>
      <w:pStyle w:val="8"/>
      <w:spacing w:before="0" w:after="200"/>
      <w:jc w:val="left"/>
      <w:rPr>
        <w:rFonts w:hint="default"/>
      </w:rPr>
    </w:pPr>
  </w:p>
  <w:p>
    <w:pPr>
      <w:pStyle w:val="8"/>
      <w:spacing w:before="0" w:after="200"/>
      <w:jc w:val="left"/>
      <w:rPr>
        <w:rFonts w:hint="default"/>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FFBC127"/>
    <w:multiLevelType w:val="multilevel"/>
    <w:tmpl w:val="9FFBC127"/>
    <w:lvl w:ilvl="0" w:tentative="0">
      <w:start w:val="1"/>
      <w:numFmt w:val="bullet"/>
      <w:lvlText w:val=""/>
      <w:lvlJc w:val="left"/>
      <w:pPr>
        <w:tabs>
          <w:tab w:val="left" w:pos="720"/>
        </w:tabs>
        <w:ind w:left="720" w:hanging="360"/>
      </w:pPr>
      <w:rPr>
        <w:rFonts w:hint="default" w:ascii="Symbol" w:hAnsi="Symbol" w:cs="Symbol"/>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abstractNum w:abstractNumId="1">
    <w:nsid w:val="CDEAFEFF"/>
    <w:multiLevelType w:val="multilevel"/>
    <w:tmpl w:val="CDEAFEF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EFF9479"/>
    <w:rsid w:val="1973F31C"/>
    <w:rsid w:val="1FB2C1BD"/>
    <w:rsid w:val="1FDB046A"/>
    <w:rsid w:val="275380D8"/>
    <w:rsid w:val="30DD53FD"/>
    <w:rsid w:val="3ADD65B9"/>
    <w:rsid w:val="3E6F7610"/>
    <w:rsid w:val="3FEE4DEC"/>
    <w:rsid w:val="47FD08C0"/>
    <w:rsid w:val="4F3F4729"/>
    <w:rsid w:val="53DF964A"/>
    <w:rsid w:val="55EFB2CF"/>
    <w:rsid w:val="5C87D7F5"/>
    <w:rsid w:val="5F4B5793"/>
    <w:rsid w:val="613C5CEA"/>
    <w:rsid w:val="63F7535E"/>
    <w:rsid w:val="6BFA45E6"/>
    <w:rsid w:val="6E7C2AEA"/>
    <w:rsid w:val="6ED6DCBE"/>
    <w:rsid w:val="77CBB64D"/>
    <w:rsid w:val="7ADD242E"/>
    <w:rsid w:val="7B7FAD11"/>
    <w:rsid w:val="7BFFE25A"/>
    <w:rsid w:val="7E5F7983"/>
    <w:rsid w:val="7EFFB152"/>
    <w:rsid w:val="7F3F8EB3"/>
    <w:rsid w:val="7F7F3A55"/>
    <w:rsid w:val="7F9F29B1"/>
    <w:rsid w:val="7FFB976A"/>
    <w:rsid w:val="9BFE10F3"/>
    <w:rsid w:val="9EFB1DBC"/>
    <w:rsid w:val="AE7BF738"/>
    <w:rsid w:val="AEF3FEE5"/>
    <w:rsid w:val="AFAB385F"/>
    <w:rsid w:val="BB6E49FC"/>
    <w:rsid w:val="BFAF390D"/>
    <w:rsid w:val="BFDDD6C2"/>
    <w:rsid w:val="CF9FC517"/>
    <w:rsid w:val="CFED15A6"/>
    <w:rsid w:val="E7EAC5F3"/>
    <w:rsid w:val="EBBF6C5A"/>
    <w:rsid w:val="EC3F17AA"/>
    <w:rsid w:val="EDBB45C8"/>
    <w:rsid w:val="EFE37952"/>
    <w:rsid w:val="F3EFDE8F"/>
    <w:rsid w:val="F3FF2B7E"/>
    <w:rsid w:val="F7CF7613"/>
    <w:rsid w:val="F7F737E9"/>
    <w:rsid w:val="FA55D77A"/>
    <w:rsid w:val="FBB3A364"/>
    <w:rsid w:val="FDBA9694"/>
    <w:rsid w:val="FDBFB375"/>
    <w:rsid w:val="FE4BC2C7"/>
    <w:rsid w:val="FF4DA749"/>
    <w:rsid w:val="FF643FE4"/>
    <w:rsid w:val="FFC355DD"/>
    <w:rsid w:val="FFEF63D1"/>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Numbering Symbols"/>
    <w:qFormat/>
    <w:uiPriority w:val="0"/>
  </w:style>
  <w:style w:type="paragraph" w:customStyle="1" w:styleId="14">
    <w:name w:val="Heading"/>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5">
    <w:name w:val="Index"/>
    <w:basedOn w:val="1"/>
    <w:qFormat/>
    <w:uiPriority w:val="0"/>
    <w:pPr>
      <w:suppressLineNumbers/>
    </w:pPr>
    <w:rPr>
      <w:rFonts w:cs="Noto Sans Devanagari"/>
    </w:rPr>
  </w:style>
  <w:style w:type="paragraph" w:customStyle="1" w:styleId="16">
    <w:name w:val="caption1"/>
    <w:basedOn w:val="1"/>
    <w:next w:val="1"/>
    <w:qFormat/>
    <w:uiPriority w:val="0"/>
    <w:pPr>
      <w:suppressLineNumbers/>
      <w:spacing w:before="120" w:after="120"/>
    </w:pPr>
    <w:rPr>
      <w:rFonts w:cs="Noto Sans Devanagari"/>
      <w:i/>
      <w:iCs/>
      <w:sz w:val="24"/>
      <w:szCs w:val="24"/>
    </w:rPr>
  </w:style>
  <w:style w:type="paragraph" w:customStyle="1" w:styleId="17">
    <w:name w:val="Header and Footer"/>
    <w:basedOn w:val="1"/>
    <w:qFormat/>
    <w:uiPriority w:val="0"/>
  </w:style>
  <w:style w:type="paragraph" w:customStyle="1" w:styleId="18">
    <w:name w:val="msolistparagraph"/>
    <w:basedOn w:val="1"/>
    <w:qFormat/>
    <w:uiPriority w:val="0"/>
    <w:pPr>
      <w:spacing w:before="0" w:after="200"/>
      <w:ind w:left="720"/>
      <w:contextualSpacing/>
    </w:pPr>
  </w:style>
  <w:style w:type="paragraph" w:customStyle="1" w:styleId="19">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0">
    <w:name w:val="List Paragraph"/>
    <w:basedOn w:val="1"/>
    <w:qFormat/>
    <w:uiPriority w:val="34"/>
    <w:pPr>
      <w:spacing w:before="0" w:after="200"/>
      <w:ind w:left="720"/>
      <w:contextualSpacing/>
    </w:pPr>
    <w:rPr>
      <w:rFonts w:ascii="Calibri" w:hAnsi="Calibri" w:eastAsia="Calibri" w:cs="Times New Roman"/>
    </w:rPr>
  </w:style>
  <w:style w:type="paragraph" w:customStyle="1" w:styleId="21">
    <w:name w:val="Frame Contents"/>
    <w:basedOn w:val="1"/>
    <w:qFormat/>
    <w:uiPriority w:val="0"/>
  </w:style>
  <w:style w:type="paragraph" w:customStyle="1" w:styleId="22">
    <w:name w:val="Table Contents"/>
    <w:basedOn w:val="1"/>
    <w:qFormat/>
    <w:uiPriority w:val="0"/>
    <w:pPr>
      <w:widowControl w:val="0"/>
      <w:suppressLineNumbers/>
    </w:pPr>
  </w:style>
  <w:style w:type="paragraph" w:customStyle="1" w:styleId="23">
    <w:name w:val="Table Heading"/>
    <w:basedOn w:val="22"/>
    <w:qFormat/>
    <w:uiPriority w:val="0"/>
    <w:pPr>
      <w:suppressLineNumbers/>
      <w:jc w:val="center"/>
    </w:pPr>
    <w:rPr>
      <w:b/>
      <w:bCs/>
    </w:rPr>
  </w:style>
  <w:style w:type="paragraph" w:customStyle="1" w:styleId="24">
    <w:name w:val="Preformatted Text"/>
    <w:basedOn w:val="1"/>
    <w:qFormat/>
    <w:uiPriority w:val="0"/>
    <w:pPr>
      <w:spacing w:before="0" w:after="0"/>
    </w:pPr>
    <w:rPr>
      <w:rFonts w:ascii="Liberation Mono" w:hAnsi="Liberation Mono" w:eastAsia="Noto Sans Mono CJK SC" w:cs="Liberation Mono"/>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1676</Words>
  <Characters>9635</Characters>
  <Paragraphs>95</Paragraphs>
  <TotalTime>3</TotalTime>
  <ScaleCrop>false</ScaleCrop>
  <LinksUpToDate>false</LinksUpToDate>
  <CharactersWithSpaces>11951</CharactersWithSpaces>
  <Application>WPS Office_11.1.0.11719_F1E327BC-269C-435d-A152-05C5408002CA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2024-03-21T13:59:58Z</dcterms:modified>
  <dc:title>CONTRAT DE PRET</dc:title>
  <cp:revision>53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1033-11.1.0.11719</vt:lpwstr>
  </property>
  <property fmtid="{D5CDD505-2E9C-101B-9397-08002B2CF9AE}" pid="3" name="_NewReviewCycle">
    <vt:lpwstr/>
  </property>
</Properties>
</file>