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val="en-US"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Pascal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r>
        <w:rPr>
          <w:rFonts w:hint="default" w:cs="Times New Roman"/>
          <w:bCs/>
          <w:iCs/>
          <w:sz w:val="24"/>
          <w:szCs w:val="24"/>
          <w:highlight w:val="none"/>
          <w:lang w:val="en-US"/>
        </w:rPr>
        <w:t>,</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sz w:val="24"/>
          <w:szCs w:val="24"/>
          <w:highlight w:val="none"/>
        </w:rPr>
        <w:t>Mr Accusantium providen Deserunt molestiae v née le 12/02/2025, de nationalité Consequatur Illo ma domicilié à Earum ratione quibus et titulaire d’un(e) Carte d'identité nationale Est quam sit aut do délivrée le 17/02/2025</w:t>
      </w:r>
      <w:r>
        <w:rPr>
          <w:rFonts w:hint="default" w:ascii="Times New Roman" w:hAnsi="Times New Roman" w:cs="Times New Roman"/>
          <w:b/>
          <w:bCs/>
          <w:sz w:val="24"/>
          <w:szCs w:val="24"/>
          <w:highlight w:val="none"/>
        </w:rPr>
        <w:t xml:space="preserve">, promoteur de </w:t>
      </w:r>
      <w:r>
        <w:rPr>
          <w:rFonts w:hint="default" w:ascii="Times New Roman" w:hAnsi="Times New Roman" w:cs="Times New Roman"/>
          <w:b/>
          <w:bCs/>
          <w:sz w:val="24"/>
          <w:szCs w:val="24"/>
          <w:highlight w:val="none"/>
          <w:lang w:val="en-US"/>
        </w:rPr>
        <w:t>Consequatur Minus s</w:t>
      </w:r>
      <w:r>
        <w:rPr>
          <w:rFonts w:hint="default" w:ascii="Times New Roman" w:hAnsi="Times New Roman" w:cs="Times New Roman"/>
          <w:bCs/>
          <w:sz w:val="24"/>
          <w:szCs w:val="24"/>
          <w:highlight w:val="none"/>
        </w:rPr>
        <w:t>, ayant pour objet Quaerat aut molestia, dont le siège social est à </w:t>
      </w:r>
      <w:r>
        <w:rPr>
          <w:rFonts w:hint="default" w:ascii="Times New Roman" w:hAnsi="Times New Roman" w:cs="Times New Roman"/>
          <w:b w:val="0"/>
          <w:bCs w:val="0"/>
          <w:sz w:val="24"/>
          <w:szCs w:val="24"/>
          <w:highlight w:val="none"/>
          <w:lang w:val="en-US"/>
        </w:rPr>
        <w:t>Voluptatibus in culp</w:t>
      </w:r>
      <w:r>
        <w:rPr>
          <w:rFonts w:hint="default" w:ascii="Times New Roman" w:hAnsi="Times New Roman" w:cs="Times New Roman"/>
          <w:sz w:val="24"/>
          <w:szCs w:val="24"/>
          <w:highlight w:val="none"/>
        </w:rPr>
        <w:t>,</w:t>
      </w:r>
      <w:r>
        <w:rPr>
          <w:rFonts w:hint="default" w:ascii="Times New Roman" w:hAnsi="Times New Roman" w:cs="Times New Roman"/>
          <w:bCs/>
          <w:sz w:val="24"/>
          <w:szCs w:val="24"/>
          <w:highlight w:val="none"/>
        </w:rPr>
        <w:t xml:space="preserve"> immatriculée sous le registre du Commerce et du Crédit Mobilier de Lomé, sous le numéro </w:t>
      </w:r>
      <w:r>
        <w:rPr>
          <w:rFonts w:hint="default" w:ascii="Times New Roman" w:hAnsi="Times New Roman" w:cs="Times New Roman"/>
          <w:bCs/>
          <w:sz w:val="24"/>
          <w:szCs w:val="24"/>
          <w:highlight w:val="none"/>
          <w:lang w:val="en-US"/>
        </w:rPr>
        <w:t>Optio impedit ipsu</w:t>
      </w:r>
      <w:r>
        <w:rPr>
          <w:rFonts w:hint="default" w:ascii="Times New Roman" w:hAnsi="Times New Roman" w:cs="Times New Roman"/>
          <w:bCs/>
          <w:sz w:val="24"/>
          <w:szCs w:val="24"/>
          <w:highlight w:val="none"/>
        </w:rPr>
        <w:t xml:space="preserve">, numéro de téléphone : </w:t>
      </w:r>
      <w:r>
        <w:rPr>
          <w:rFonts w:hint="default" w:ascii="Times New Roman" w:hAnsi="Times New Roman" w:cs="Times New Roman"/>
          <w:bCs/>
          <w:sz w:val="24"/>
          <w:szCs w:val="24"/>
          <w:highlight w:val="none"/>
          <w:lang w:val="en-US"/>
        </w:rPr>
        <w:t>+1 (137) 177-2217</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98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64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90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Mensuel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17 %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10 %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72</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Prime d’assurance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 </w:t>
      </w:r>
      <w:bookmarkStart w:id="6" w:name="_GoBack"/>
      <w:bookmarkEnd w:id="6"/>
      <w:r>
        <w:rPr>
          <w:rFonts w:hint="default" w:ascii="Times New Roman" w:hAnsi="Times New Roman" w:cs="Times New Roman"/>
          <w:b/>
          <w:sz w:val="24"/>
          <w:szCs w:val="24"/>
          <w:lang w:val="en-US"/>
        </w:rPr>
        <w:t>Selon la grille de l’assureur</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Prime de risque (46 %)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45 F CFA</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0"/>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Non iste sit praesen</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Nihil quia qui modi</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64 (soixante-quatre)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80 </w:t>
      </w:r>
      <w:r>
        <w:rPr>
          <w:rFonts w:hint="default" w:ascii="Times New Roman" w:hAnsi="Times New Roman" w:cs="Times New Roman"/>
          <w:b/>
          <w:bCs/>
          <w:sz w:val="24"/>
          <w:szCs w:val="24"/>
          <w:highlight w:val="none"/>
        </w:rPr>
        <w:t>mensualités</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quatre-vingt-treize</w:t>
      </w:r>
      <w:r>
        <w:rPr>
          <w:rFonts w:hint="default" w:ascii="Times New Roman" w:hAnsi="Times New Roman" w:cs="Times New Roman"/>
          <w:b/>
          <w:bCs/>
          <w:sz w:val="24"/>
          <w:szCs w:val="24"/>
          <w:highlight w:val="none"/>
          <w:lang w:val="en-US"/>
        </w:rPr>
        <w:t xml:space="preserve"> (93)</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quatre et soixante-cinq(5</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un véhicule(s)</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véhicule</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Est ad sequi evenie</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1"/>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Dépôt de garantie</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Inventore sunt ut su</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Head Crédit                                                           </w:t>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rPr>
        <w:t>Responsable juridique</w:t>
      </w:r>
    </w:p>
    <w:p>
      <w:pPr>
        <w:rPr>
          <w:rFonts w:hint="default" w:ascii="Times New Roman" w:hAnsi="Times New Roman" w:cs="Times New Roman"/>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Consequatur Minus s</w:t>
      </w:r>
    </w:p>
    <w:p>
      <w:pPr>
        <w:jc w:val="center"/>
        <w:rPr>
          <w:rFonts w:hint="default" w:ascii="Times New Roman" w:hAnsi="Times New Roman" w:cs="Times New Roman"/>
          <w:b/>
          <w:sz w:val="24"/>
          <w:szCs w:val="24"/>
          <w:highlight w:val="none"/>
        </w:rPr>
      </w:pPr>
    </w:p>
    <w:p>
      <w:pPr>
        <w:spacing w:before="0" w:after="200"/>
        <w:jc w:val="both"/>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Mr Accusantium providen Deserunt molestiae v</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Fonts w:hint="default" w:ascii="Times New Roman" w:hAnsi="Times New Roman" w:cs="Times New Roman"/>
        <w:highlight w:val="none"/>
      </w:rPr>
    </w:pPr>
    <w:r>
      <w:rPr>
        <w:rStyle w:val="7"/>
        <w:rFonts w:hint="default" w:ascii="Times New Roman" w:hAnsi="Times New Roman" w:cs="Times New Roman"/>
        <w:highlight w:val="none"/>
      </w:rPr>
      <w:fldChar w:fldCharType="begin"/>
    </w:r>
    <w:r>
      <w:rPr>
        <w:rStyle w:val="7"/>
        <w:rFonts w:hint="default" w:ascii="Times New Roman" w:hAnsi="Times New Roman" w:cs="Times New Roman"/>
        <w:highlight w:val="none"/>
      </w:rPr>
      <w:instrText xml:space="preserve">PAGE  </w:instrText>
    </w:r>
    <w:r>
      <w:rPr>
        <w:rStyle w:val="7"/>
        <w:rFonts w:hint="default" w:ascii="Times New Roman" w:hAnsi="Times New Roman" w:cs="Times New Roman"/>
        <w:highlight w:val="none"/>
      </w:rPr>
      <w:fldChar w:fldCharType="separate"/>
    </w:r>
    <w:r>
      <w:rPr>
        <w:rStyle w:val="7"/>
        <w:rFonts w:hint="default" w:ascii="Times New Roman" w:hAnsi="Times New Roman" w:cs="Times New Roman"/>
        <w:highlight w:val="none"/>
      </w:rPr>
      <w:t>5</w:t>
    </w:r>
    <w:r>
      <w:rPr>
        <w:rStyle w:val="7"/>
        <w:rFonts w:hint="default" w:ascii="Times New Roman" w:hAnsi="Times New Roman" w:cs="Times New Roman"/>
        <w:highlight w:val="none"/>
      </w:rPr>
      <w:fldChar w:fldCharType="end"/>
    </w:r>
  </w:p>
  <w:p>
    <w:pPr>
      <w:spacing w:before="0" w:after="200" w:line="240" w:lineRule="auto"/>
      <w:jc w:val="both"/>
      <w:rPr>
        <w:rFonts w:hint="default" w:ascii="Times New Roman" w:hAnsi="Times New Roman" w:cs="Times New Roman"/>
        <w:b/>
        <w:bCs/>
        <w:sz w:val="16"/>
        <w:szCs w:val="16"/>
        <w:highlight w:val="none"/>
      </w:rPr>
    </w:pPr>
    <w:r>
      <w:rPr>
        <w:rFonts w:hint="default" w:ascii="Times New Roman" w:hAnsi="Times New Roman" w:cs="Times New Roman"/>
        <w:sz w:val="16"/>
        <w:highlight w:val="none"/>
      </w:rPr>
      <w:t xml:space="preserve">CONTRAT DE PRET  ET GAGE- </w:t>
    </w:r>
    <w:r>
      <w:rPr>
        <w:rFonts w:hint="default" w:ascii="Times New Roman" w:hAnsi="Times New Roman" w:cs="Times New Roman"/>
        <w:b/>
        <w:highlight w:val="none"/>
      </w:rPr>
      <w:t>Consequatur Minus s</w:t>
    </w:r>
  </w:p>
  <w:p>
    <w:pPr>
      <w:pStyle w:val="5"/>
      <w:rPr>
        <w:rFonts w:hint="default" w:ascii="Times New Roman" w:hAnsi="Times New Roman" w:cs="Times New Roman"/>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both"/>
    </w:pPr>
    <w:r>
      <w:rPr>
        <w:rFonts w:hint="default"/>
      </w:rPr>
      <w:t>N°test003</w:t>
    </w:r>
  </w:p>
  <w:p>
    <w:pPr>
      <w:pStyle w:val="6"/>
      <w:jc w:val="center"/>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E9BF6"/>
    <w:multiLevelType w:val="singleLevel"/>
    <w:tmpl w:val="EBBE9BF6"/>
    <w:lvl w:ilvl="0" w:tentative="0">
      <w:start w:val="1"/>
      <w:numFmt w:val="decimal"/>
      <w:lvlText w:val="%1."/>
      <w:lvlJc w:val="left"/>
      <w:pPr>
        <w:tabs>
          <w:tab w:val="left" w:pos="312"/>
        </w:tabs>
      </w:pPr>
    </w:lvl>
  </w:abstractNum>
  <w:abstractNum w:abstractNumId="1">
    <w:nsid w:val="FFFFFFFE"/>
    <w:multiLevelType w:val="singleLevel"/>
    <w:tmpl w:val="FFFFFFFE"/>
    <w:lvl w:ilvl="0" w:tentative="0">
      <w:start w:val="0"/>
      <w:numFmt w:val="decimal"/>
      <w:lvlText w:val="*"/>
      <w:lvlJc w:val="left"/>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0"/>
  </w:num>
  <w:num w:numId="2">
    <w:abstractNumId w:val="1"/>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0FA71616"/>
    <w:rsid w:val="1CFD66C2"/>
    <w:rsid w:val="1DBBF030"/>
    <w:rsid w:val="2F3F00EE"/>
    <w:rsid w:val="2FC73C3E"/>
    <w:rsid w:val="33EEE15C"/>
    <w:rsid w:val="35EEB0E4"/>
    <w:rsid w:val="37D613CE"/>
    <w:rsid w:val="37FEBD8C"/>
    <w:rsid w:val="3ED6DE3D"/>
    <w:rsid w:val="3F7024D8"/>
    <w:rsid w:val="3F71A17E"/>
    <w:rsid w:val="3F7E46F7"/>
    <w:rsid w:val="3FDDC29E"/>
    <w:rsid w:val="577F5B0B"/>
    <w:rsid w:val="5BB95682"/>
    <w:rsid w:val="5BFD7BEF"/>
    <w:rsid w:val="5E5F877C"/>
    <w:rsid w:val="68F8A4F4"/>
    <w:rsid w:val="6BD6BFE6"/>
    <w:rsid w:val="6F5B0736"/>
    <w:rsid w:val="6FDF84A0"/>
    <w:rsid w:val="6FFA7788"/>
    <w:rsid w:val="71A684D3"/>
    <w:rsid w:val="78D6270C"/>
    <w:rsid w:val="796E46C9"/>
    <w:rsid w:val="7A8EB42F"/>
    <w:rsid w:val="7AEC5023"/>
    <w:rsid w:val="7BD9EF98"/>
    <w:rsid w:val="7BFE1D29"/>
    <w:rsid w:val="7CAEB977"/>
    <w:rsid w:val="7DB7BFDA"/>
    <w:rsid w:val="7DBA06B1"/>
    <w:rsid w:val="7DBD25E1"/>
    <w:rsid w:val="7E5D4C8C"/>
    <w:rsid w:val="7EFE7689"/>
    <w:rsid w:val="7F9F42FA"/>
    <w:rsid w:val="7FE7FD22"/>
    <w:rsid w:val="877BD08D"/>
    <w:rsid w:val="8F8FE0FE"/>
    <w:rsid w:val="8FFB8796"/>
    <w:rsid w:val="95DAFC30"/>
    <w:rsid w:val="9BED53AE"/>
    <w:rsid w:val="A93FACCB"/>
    <w:rsid w:val="AF7EFD4A"/>
    <w:rsid w:val="B39D1A06"/>
    <w:rsid w:val="BBFFA532"/>
    <w:rsid w:val="BED71A8F"/>
    <w:rsid w:val="BFDE5EC6"/>
    <w:rsid w:val="BFFDF065"/>
    <w:rsid w:val="CEFBD19E"/>
    <w:rsid w:val="DBFD30C9"/>
    <w:rsid w:val="EBDF2626"/>
    <w:rsid w:val="F57F360C"/>
    <w:rsid w:val="F5F63557"/>
    <w:rsid w:val="F63EBE11"/>
    <w:rsid w:val="FB5391E6"/>
    <w:rsid w:val="FBB9F95D"/>
    <w:rsid w:val="FBDF77DA"/>
    <w:rsid w:val="FDBF4DFE"/>
    <w:rsid w:val="FDCE9425"/>
    <w:rsid w:val="FDFF8D01"/>
    <w:rsid w:val="FE7E157E"/>
    <w:rsid w:val="FFBF5E20"/>
    <w:rsid w:val="FFCBD28D"/>
    <w:rsid w:val="FFDB412C"/>
    <w:rsid w:val="FFEFB52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2025-02-11T16:37:23Z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