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240" w:lineRule="auto"/>
        <w:jc w:val="center"/>
        <w:rPr>
          <w:rFonts w:ascii="Times New Roman" w:hAnsi="Times New Roman" w:cs="Times New Roman"/>
          <w:b/>
          <w:sz w:val="28"/>
          <w:szCs w:val="28"/>
          <w:bdr w:val="double" w:color="000000" w:sz="24" w:space="0"/>
        </w:rPr>
      </w:pPr>
      <w:r>
        <w:rPr>
          <w:rFonts w:ascii="Times New Roman" w:hAnsi="Times New Roman" w:cs="Times New Roman"/>
          <w:b/>
          <w:sz w:val="28"/>
          <w:szCs w:val="28"/>
          <w:bdr w:val="double" w:color="000000" w:sz="24" w:space="0"/>
        </w:rPr>
        <w:t>CONTRAT DE PRET</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u w:val="single"/>
        </w:rPr>
        <w:t xml:space="preserve">ENTRE-LES SOUSSIGNES : </w:t>
      </w:r>
    </w:p>
    <w:p>
      <w:pPr>
        <w:jc w:val="both"/>
        <w:rPr>
          <w:rFonts w:hint="default" w:ascii="Times New Roman" w:hAnsi="Times New Roman" w:cs="Times New Roman"/>
          <w:color w:val="000000"/>
          <w:sz w:val="24"/>
          <w:szCs w:val="24"/>
        </w:rPr>
      </w:pPr>
      <w:r>
        <w:rPr>
          <w:rFonts w:hint="default" w:ascii="Times New Roman" w:hAnsi="Times New Roman" w:cs="Times New Roman"/>
          <w:b/>
          <w:color w:val="000000"/>
          <w:sz w:val="24"/>
          <w:szCs w:val="24"/>
        </w:rPr>
        <w:t>COMPAGNIE FINANCIERE AFRICAINE (COFINA) Togo SA</w:t>
      </w:r>
      <w:r>
        <w:rPr>
          <w:rFonts w:hint="default" w:ascii="Times New Roman" w:hAnsi="Times New Roman" w:cs="Times New Roman"/>
          <w:color w:val="000000"/>
          <w:sz w:val="24"/>
          <w:szCs w:val="24"/>
        </w:rPr>
        <w:t xml:space="preserve">, Société Anonyme avec Conseil d’Administration au capital de  500 000 000 FCFA, immatriculée au Registre du Commerce et du Crédit Mobilier du TOGO, sous le numéro initial TOGO-LOME TG-LOM 2018 B2536, Agrément </w:t>
      </w:r>
      <w:r>
        <w:rPr>
          <w:rFonts w:hint="default" w:ascii="Times New Roman" w:hAnsi="Times New Roman" w:cs="Times New Roman"/>
          <w:sz w:val="24"/>
          <w:szCs w:val="24"/>
        </w:rPr>
        <w:t>Numéro 36 et inscrite sur la liste de l’APSFD sous le numéro T/1/GFLM/2019/257A</w:t>
      </w:r>
      <w:r>
        <w:rPr>
          <w:rFonts w:hint="default" w:ascii="Times New Roman" w:hAnsi="Times New Roman" w:cs="Times New Roman"/>
          <w:color w:val="000000"/>
          <w:sz w:val="24"/>
          <w:szCs w:val="24"/>
        </w:rPr>
        <w:t>, dont le siège social est situé à LOME (TOGO</w:t>
      </w:r>
      <w:bookmarkStart w:id="0" w:name="_Hlk66259236"/>
      <w:r>
        <w:rPr>
          <w:rFonts w:hint="default" w:ascii="Times New Roman" w:hAnsi="Times New Roman" w:cs="Times New Roman"/>
          <w:color w:val="000000"/>
          <w:sz w:val="24"/>
          <w:szCs w:val="24"/>
        </w:rPr>
        <w:t>), Boulevard du 13 Janvier, Quartier Kodjoviakope, 07 BP : 7499 Lomé-TOGO</w:t>
      </w:r>
      <w:bookmarkEnd w:id="0"/>
      <w:r>
        <w:rPr>
          <w:rFonts w:hint="default" w:ascii="Times New Roman" w:hAnsi="Times New Roman" w:cs="Times New Roman"/>
          <w:color w:val="000000"/>
          <w:sz w:val="24"/>
          <w:szCs w:val="24"/>
        </w:rPr>
        <w:t xml:space="preserve">, Tel : 00 228 22 23 68 68/ 00 228 22 23 68 60, </w:t>
      </w:r>
    </w:p>
    <w:p>
      <w:pPr>
        <w:jc w:val="both"/>
        <w:rPr>
          <w:rFonts w:hint="default" w:ascii="Times New Roman" w:hAnsi="Times New Roman" w:cs="Times New Roman"/>
          <w:sz w:val="24"/>
          <w:szCs w:val="24"/>
        </w:rPr>
      </w:pPr>
      <w:r>
        <w:rPr>
          <w:rFonts w:hint="default" w:ascii="Times New Roman" w:hAnsi="Times New Roman" w:cs="Times New Roman"/>
          <w:bCs/>
          <w:iCs/>
          <w:color w:val="000000"/>
          <w:sz w:val="24"/>
          <w:szCs w:val="24"/>
        </w:rPr>
        <w:t xml:space="preserve">Représentée par </w:t>
      </w:r>
      <w:r>
        <w:rPr>
          <w:rFonts w:hint="default" w:ascii="Times New Roman" w:hAnsi="Times New Roman" w:cs="Times New Roman"/>
          <w:b/>
          <w:iCs/>
          <w:color w:val="000000"/>
          <w:sz w:val="24"/>
          <w:szCs w:val="24"/>
        </w:rPr>
        <w:t>Monsieur Pascal KOVE</w:t>
      </w:r>
      <w:r>
        <w:rPr>
          <w:rFonts w:hint="default" w:ascii="Times New Roman" w:hAnsi="Times New Roman" w:cs="Times New Roman"/>
          <w:bCs/>
          <w:iCs/>
          <w:color w:val="000000"/>
          <w:sz w:val="24"/>
          <w:szCs w:val="24"/>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Head Crédit</w:t>
      </w:r>
      <w:r>
        <w:rPr>
          <w:rFonts w:hint="default" w:ascii="Times New Roman" w:hAnsi="Times New Roman" w:cs="Times New Roman"/>
          <w:bCs/>
          <w:iCs/>
          <w:color w:val="000000"/>
          <w:sz w:val="24"/>
          <w:szCs w:val="24"/>
        </w:rPr>
        <w:t>, vertu d’un acte reçu par Me Afiavi S. do REGO-d’Almeida, Notaire à Lomé</w:t>
      </w:r>
      <w:r>
        <w:rPr>
          <w:rFonts w:hint="default" w:ascii="Times New Roman" w:hAnsi="Times New Roman" w:cs="Times New Roman"/>
          <w:sz w:val="24"/>
          <w:szCs w:val="24"/>
        </w:rPr>
        <w:t xml:space="preserve">, </w:t>
      </w:r>
    </w:p>
    <w:p>
      <w:pPr>
        <w:ind w:right="-141"/>
        <w:jc w:val="right"/>
        <w:rPr>
          <w:rFonts w:hint="default" w:ascii="Times New Roman" w:hAnsi="Times New Roman" w:cs="Times New Roman"/>
          <w:i/>
          <w:iCs/>
          <w:sz w:val="24"/>
          <w:szCs w:val="24"/>
        </w:rPr>
      </w:pPr>
      <w:r>
        <w:rPr>
          <w:rFonts w:hint="default" w:ascii="Times New Roman" w:hAnsi="Times New Roman" w:cs="Times New Roman"/>
          <w:sz w:val="24"/>
          <w:szCs w:val="24"/>
        </w:rPr>
        <w:t xml:space="preserve">Ci-après dénommée « </w:t>
      </w:r>
      <w:r>
        <w:rPr>
          <w:rFonts w:hint="default" w:ascii="Times New Roman" w:hAnsi="Times New Roman" w:cs="Times New Roman"/>
          <w:b/>
          <w:bCs/>
          <w:sz w:val="24"/>
          <w:szCs w:val="24"/>
        </w:rPr>
        <w:t xml:space="preserve">COFINA TOGO SA », </w:t>
      </w:r>
      <w:r>
        <w:rPr>
          <w:rFonts w:hint="default" w:ascii="Times New Roman" w:hAnsi="Times New Roman" w:cs="Times New Roman"/>
          <w:b/>
          <w:bCs/>
          <w:i/>
          <w:iCs/>
          <w:sz w:val="24"/>
          <w:szCs w:val="24"/>
        </w:rPr>
        <w:t>d’une part</w:t>
      </w:r>
      <w:r>
        <w:rPr>
          <w:rFonts w:hint="default" w:ascii="Times New Roman" w:hAnsi="Times New Roman" w:cs="Times New Roman"/>
          <w:i/>
          <w:iCs/>
          <w:sz w:val="24"/>
          <w:szCs w:val="24"/>
        </w:rPr>
        <w: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Et</w:t>
      </w:r>
      <w:bookmarkStart w:id="1" w:name="_Hlk68256928"/>
      <w:bookmarkEnd w:id="1"/>
    </w:p>
    <w:p>
      <w:pPr>
        <w:ind w:right="-468"/>
        <w:jc w:val="both"/>
        <w:rPr>
          <w:rFonts w:hint="default" w:ascii="Times New Roman" w:hAnsi="Times New Roman" w:cs="Times New Roman"/>
          <w:sz w:val="24"/>
          <w:szCs w:val="24"/>
          <w:highlight w:val="none"/>
          <w:shd w:val="clear" w:fill="auto"/>
        </w:rPr>
      </w:pPr>
      <w:r>
        <w:rPr>
          <w:rFonts w:hint="default" w:ascii="Times New Roman" w:hAnsi="Times New Roman" w:cs="Times New Roman"/>
          <w:b/>
          <w:bCs/>
          <w:sz w:val="24"/>
          <w:szCs w:val="24"/>
          <w:shd w:val="clear" w:fill="auto"/>
        </w:rPr>
        <w:t>${verbal_trial.civility} ${verbal_trial.applicant_last_name} ${verbal_trial.applicant_first_name} née le ${representative_birth_date</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de nationalité ${representative_nationality} domicilié à ${representative_home_address} et titulaire d’un(e) ${representative_type_of_identity_document} ${representative_number_of_identity_document} délivrée le ${representative_date_of_issue_of_identity_document</w:t>
      </w:r>
      <w:r>
        <w:rPr>
          <w:rFonts w:hint="default" w:ascii="Times New Roman" w:hAnsi="Times New Roman" w:cs="Times New Roman"/>
          <w:b/>
          <w:bCs/>
          <w:sz w:val="24"/>
          <w:szCs w:val="24"/>
          <w:shd w:val="clear" w:fill="auto"/>
          <w:lang w:val="en-US"/>
        </w:rPr>
        <w:t>_fr</w:t>
      </w:r>
      <w:r>
        <w:rPr>
          <w:rFonts w:hint="default" w:ascii="Times New Roman" w:hAnsi="Times New Roman" w:cs="Times New Roman"/>
          <w:b/>
          <w:bCs/>
          <w:sz w:val="24"/>
          <w:szCs w:val="24"/>
          <w:shd w:val="clear" w:fill="auto"/>
        </w:rPr>
        <w:t>}, Tél : ${representative_phone_number},</w:t>
      </w:r>
    </w:p>
    <w:p>
      <w:pPr>
        <w:spacing w:line="240" w:lineRule="auto"/>
        <w:jc w:val="right"/>
        <w:rPr>
          <w:rFonts w:hint="default" w:ascii="Times New Roman" w:hAnsi="Times New Roman" w:cs="Times New Roman"/>
          <w:sz w:val="24"/>
          <w:szCs w:val="24"/>
        </w:rPr>
      </w:pPr>
      <w:r>
        <w:rPr>
          <w:rFonts w:hint="default" w:ascii="Times New Roman" w:hAnsi="Times New Roman" w:cs="Times New Roman"/>
          <w:sz w:val="24"/>
          <w:szCs w:val="24"/>
        </w:rPr>
        <w:t>Ci-après désigné(e) « l’Emprunteur »</w:t>
      </w:r>
    </w:p>
    <w:p>
      <w:pPr>
        <w:rPr>
          <w:rFonts w:hint="default" w:ascii="Times New Roman" w:hAnsi="Times New Roman" w:cs="Times New Roman"/>
          <w:sz w:val="24"/>
          <w:szCs w:val="24"/>
          <w:u w:val="single"/>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sz w:val="24"/>
          <w:szCs w:val="24"/>
          <w:u w:val="single"/>
        </w:rPr>
        <w:t>IL A ETE CONVENU ET ARRETE CE QUI SUIT</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Article 1 :</w:t>
      </w:r>
      <w:r>
        <w:rPr>
          <w:rFonts w:hint="default" w:ascii="Times New Roman" w:hAnsi="Times New Roman" w:cs="Times New Roman"/>
          <w:sz w:val="24"/>
          <w:szCs w:val="24"/>
          <w:highlight w:val="none"/>
        </w:rPr>
        <w:t xml:space="preserve"> </w:t>
      </w:r>
      <w:r>
        <w:rPr>
          <w:rFonts w:hint="default" w:ascii="Times New Roman" w:hAnsi="Times New Roman" w:cs="Times New Roman"/>
          <w:b/>
          <w:bCs/>
          <w:sz w:val="24"/>
          <w:szCs w:val="24"/>
          <w:highlight w:val="none"/>
          <w:u w:val="single"/>
        </w:rPr>
        <w:t>Compte courant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et l’emprunteur sont convenus dès avant ce jour que les comptes ouverts, tant au siège social que dans les agences constituent un compte courant unique produisant tous les effets légaux et usuels du compte courant et transformant toutes les opérations en simples articles de crédit et de débit, générateurs lors de la clôture, d'un solde qui fera seul apparaître une créance ou une dette exigible.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L'ouverture de plusieurs comptes constitue une distinction purement matérielle pour la clarté des écritures, ceux-ci peuvent à la convenance des parties, être supprimés à tout moment sans avis préalable.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Cette convention de compte courant constitue une condition essentielle à l'attribution des crédits qui pourraient être octroyés par COFINA, en conséquence, les garanties particulières qui pourraient être affectées à une créance quelconque entrant dans le compte courant s'appliquent au solde de ce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COFINA est autorisée à passer d'office au débit du compte courant, et sur simple avis, le montant en principal et accessoires de tous effets de commerce échus et impayés portant la signature de l'emprunteur comme signataire, accepteur, endosseur ou avaliste, lors même que ces effets auraient été négociés par des tiers et hors l'intervention de l’emprunteur.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Il est précisé que, sauf convention contraire expressément constatée par écrit, toutes opérations traitées entre l'emprunteur et COFINA seront, de plein droit, incluses dans le compte courant sus énoncé.</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De même le compte courant comprendra les créances éventuelles, telles notamment que les recours susceptibles d'être exercés par COFINA si elle s'était portée caution ou avaliste de l’Emprunteur avant la clôture du compte.</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En conséquence, COFINA est dès maintenant autorisée à inscrire d'office au débit du compte de l’emprunteur toutes sommes que cette dernière pourrait lui devoir en principal, plus tous intérêts, commissions, frais et accessoires, quelles que soient l'origine et la nature desdites créances, même si la cause en était antérieure à ce jour.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Rentrent donc dans le compte courant notamment et sans que cette énonciation soit limitative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et facilités quelconques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tous escomptes d'effets commerciaux portant à un titre quelconque la signature de l’emprunteur ;</w:t>
      </w:r>
    </w:p>
    <w:p>
      <w:pPr>
        <w:widowControl w:val="0"/>
        <w:numPr>
          <w:ilvl w:val="0"/>
          <w:numId w:val="1"/>
        </w:numPr>
        <w:tabs>
          <w:tab w:val="left" w:pos="1211"/>
          <w:tab w:val="clear" w:pos="2345"/>
        </w:tabs>
        <w:overflowPunct w:val="0"/>
        <w:autoSpaceDE w:val="0"/>
        <w:autoSpaceDN w:val="0"/>
        <w:adjustRightInd w:val="0"/>
        <w:spacing w:after="0" w:line="240" w:lineRule="auto"/>
        <w:ind w:left="1211" w:right="-851"/>
        <w:jc w:val="both"/>
        <w:textAlignment w:val="baseline"/>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toutes avances sur produits, sur marchandises ou sur créances à l'encontre de l'Administration ;</w:t>
      </w:r>
    </w:p>
    <w:p>
      <w:pPr>
        <w:spacing w:line="240" w:lineRule="auto"/>
        <w:jc w:val="both"/>
        <w:rPr>
          <w:rFonts w:hint="default" w:ascii="Times New Roman" w:hAnsi="Times New Roman" w:cs="Times New Roman"/>
          <w:b/>
          <w:sz w:val="24"/>
          <w:szCs w:val="24"/>
          <w:highlight w:val="none"/>
        </w:rPr>
      </w:pPr>
      <w:r>
        <w:rPr>
          <w:rFonts w:hint="default" w:ascii="Times New Roman" w:hAnsi="Times New Roman" w:cs="Times New Roman"/>
          <w:sz w:val="24"/>
          <w:szCs w:val="24"/>
          <w:highlight w:val="none"/>
        </w:rPr>
        <w:t>toutes cautions et avals fournis par COFINA auprès de qui que ce soit</w:t>
      </w:r>
    </w:p>
    <w:p>
      <w:pPr>
        <w:spacing w:before="0" w:after="200" w:line="240" w:lineRule="auto"/>
        <w:jc w:val="both"/>
        <w:rPr>
          <w:rFonts w:hint="default" w:ascii="Times New Roman" w:hAnsi="Times New Roman" w:cs="Times New Roman"/>
          <w:sz w:val="24"/>
          <w:szCs w:val="24"/>
        </w:rPr>
      </w:pPr>
    </w:p>
    <w:p>
      <w:pPr>
        <w:spacing w:before="0" w:after="200"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2</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Objet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Sous réserve de la réalisation des conditions préalables visées à </w:t>
      </w:r>
      <w:r>
        <w:rPr>
          <w:rFonts w:hint="default" w:ascii="Times New Roman" w:hAnsi="Times New Roman" w:cs="Times New Roman"/>
          <w:sz w:val="24"/>
          <w:szCs w:val="24"/>
          <w:lang w:val="en-US"/>
        </w:rPr>
        <w:t>l</w:t>
      </w:r>
      <w:r>
        <w:rPr>
          <w:rFonts w:hint="default" w:ascii="Times New Roman" w:hAnsi="Times New Roman" w:cs="Times New Roman"/>
          <w:sz w:val="24"/>
          <w:szCs w:val="24"/>
        </w:rPr>
        <w:t xml:space="preserve">'article </w:t>
      </w:r>
      <w:r>
        <w:rPr>
          <w:rFonts w:hint="default" w:ascii="Times New Roman" w:hAnsi="Times New Roman" w:cs="Times New Roman"/>
          <w:sz w:val="24"/>
          <w:szCs w:val="24"/>
          <w:lang w:val="en-US"/>
        </w:rPr>
        <w:t>9</w:t>
      </w:r>
      <w:r>
        <w:rPr>
          <w:rFonts w:hint="default" w:ascii="Times New Roman" w:hAnsi="Times New Roman" w:cs="Times New Roman"/>
          <w:sz w:val="24"/>
          <w:szCs w:val="24"/>
        </w:rPr>
        <w:t xml:space="preserve"> ci-après, l’institution consent à l'Emprunteur, qui accepte et s'engage à en exécuter les termes, conditions et modalités telles que définies ci-après, </w:t>
      </w:r>
      <w:r>
        <w:rPr>
          <w:rFonts w:hint="default" w:ascii="Times New Roman" w:hAnsi="Times New Roman" w:cs="Times New Roman"/>
          <w:sz w:val="24"/>
          <w:szCs w:val="24"/>
          <w:shd w:val="clear" w:fill="auto"/>
        </w:rPr>
        <w:t>${verbal_trial.type_of_credit.name}</w:t>
      </w:r>
      <w:r>
        <w:rPr>
          <w:rFonts w:hint="default" w:ascii="Times New Roman" w:hAnsi="Times New Roman" w:cs="Times New Roman"/>
          <w:sz w:val="24"/>
          <w:szCs w:val="24"/>
        </w:rPr>
        <w:t xml:space="preserve"> aux caractéristiques suivantes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${verbal_trial.amount} F CFA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Différé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 ${</w:t>
      </w:r>
      <w:r>
        <w:rPr>
          <w:rFonts w:hint="default" w:ascii="Times New Roman" w:hAnsi="Times New Roman" w:cs="Times New Roman"/>
          <w:b/>
          <w:sz w:val="24"/>
          <w:szCs w:val="24"/>
          <w:shd w:val="clear" w:fill="auto"/>
        </w:rPr>
        <w:t>verbal_trial</w:t>
      </w:r>
      <w:r>
        <w:rPr>
          <w:rFonts w:hint="default" w:ascii="Times New Roman" w:hAnsi="Times New Roman" w:cs="Times New Roman"/>
          <w:b/>
          <w:sz w:val="24"/>
          <w:szCs w:val="24"/>
          <w:shd w:val="clear" w:fill="auto"/>
          <w:lang w:val="en-US"/>
        </w:rPr>
        <w:t>.number_deferred} mois</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lang w:val="en-US"/>
        </w:rPr>
        <w:tab/>
      </w:r>
      <w:bookmarkStart w:id="9" w:name="_GoBack"/>
      <w:bookmarkEnd w:id="9"/>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rPr>
      </w:pPr>
      <w:r>
        <w:rPr>
          <w:rFonts w:hint="default" w:ascii="Times New Roman" w:hAnsi="Times New Roman" w:cs="Times New Roman"/>
          <w:b/>
          <w:sz w:val="24"/>
          <w:szCs w:val="24"/>
        </w:rPr>
        <w:tab/>
      </w:r>
      <w:r>
        <w:rPr>
          <w:rFonts w:hint="default" w:ascii="Times New Roman" w:hAnsi="Times New Roman" w:cs="Times New Roman"/>
          <w:b/>
          <w:sz w:val="24"/>
          <w:szCs w:val="24"/>
        </w:rPr>
        <w:t xml:space="preserve">${key} </w:t>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ab/>
      </w:r>
      <w:r>
        <w:rPr>
          <w:rFonts w:hint="default" w:ascii="Times New Roman" w:hAnsi="Times New Roman" w:cs="Times New Roman"/>
          <w:b/>
          <w:sz w:val="24"/>
          <w:szCs w:val="24"/>
        </w:rPr>
        <w:t>:  ${value}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rPr>
        <w:tab/>
      </w:r>
      <w:r>
        <w:rPr>
          <w:rFonts w:hint="default" w:ascii="Times New Roman" w:hAnsi="Times New Roman" w:cs="Times New Roman"/>
          <w:b/>
          <w:sz w:val="24"/>
          <w:szCs w:val="24"/>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${line_risk_premium_percentage_value}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shd w:val="clear" w:fill="auto"/>
          <w:lang w:val="en-US"/>
        </w:rPr>
        <w:t>${line_review_bonus}</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${line_review_bonus_value}</w:t>
      </w: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3</w:t>
      </w:r>
      <w:r>
        <w:rPr>
          <w:rFonts w:hint="default" w:ascii="Times New Roman" w:hAnsi="Times New Roman" w:cs="Times New Roman"/>
          <w:sz w:val="24"/>
          <w:szCs w:val="24"/>
        </w:rPr>
        <w:t> </w:t>
      </w:r>
      <w:r>
        <w:rPr>
          <w:rFonts w:hint="default" w:ascii="Times New Roman" w:hAnsi="Times New Roman" w:cs="Times New Roman"/>
          <w:b/>
          <w:bCs/>
          <w:sz w:val="24"/>
          <w:szCs w:val="24"/>
        </w:rPr>
        <w:t xml:space="preserve">: </w:t>
      </w:r>
      <w:r>
        <w:rPr>
          <w:rFonts w:hint="default" w:ascii="Times New Roman" w:hAnsi="Times New Roman" w:cs="Times New Roman"/>
          <w:b/>
          <w:bCs/>
          <w:sz w:val="24"/>
          <w:szCs w:val="24"/>
          <w:u w:val="single"/>
        </w:rPr>
        <w:t>Durée</w:t>
      </w:r>
      <w:r>
        <w:rPr>
          <w:rFonts w:hint="default" w:ascii="Times New Roman" w:hAnsi="Times New Roman" w:cs="Times New Roman"/>
          <w:sz w:val="24"/>
          <w:szCs w:val="24"/>
        </w:rPr>
        <w:tab/>
      </w:r>
      <w:r>
        <w:rPr>
          <w:rFonts w:hint="default" w:ascii="Times New Roman" w:hAnsi="Times New Roman" w:cs="Times New Roman"/>
          <w:sz w:val="24"/>
          <w:szCs w:val="24"/>
        </w:rPr>
        <w:tab/>
      </w:r>
      <w:r>
        <w:rPr>
          <w:rFonts w:hint="default" w:ascii="Times New Roman" w:hAnsi="Times New Roman" w:cs="Times New Roman"/>
          <w:sz w:val="24"/>
          <w:szCs w:val="24"/>
        </w:rPr>
        <w:tab/>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 Prêt est consenti pour une durée de </w:t>
      </w:r>
      <w:bookmarkStart w:id="2" w:name="_Hlk156214331"/>
      <w:r>
        <w:rPr>
          <w:rFonts w:hint="default" w:ascii="Times New Roman" w:hAnsi="Times New Roman" w:cs="Times New Roman"/>
          <w:sz w:val="24"/>
          <w:szCs w:val="24"/>
          <w:shd w:val="clear" w:fill="auto"/>
          <w:lang w:val="en-US"/>
        </w:rPr>
        <w:t>${verbal_trial.duration} (${verbal_trial.duration.fr}) mois</w:t>
      </w:r>
      <w:r>
        <w:rPr>
          <w:rFonts w:hint="default" w:ascii="Times New Roman" w:hAnsi="Times New Roman" w:cs="Times New Roman"/>
          <w:sz w:val="24"/>
          <w:szCs w:val="24"/>
          <w:shd w:val="clear" w:fill="auto"/>
        </w:rPr>
        <w:t xml:space="preserve"> avec possibilité de remboursement anticipé. Le remboursement se fera au moyen </w:t>
      </w:r>
      <w:bookmarkStart w:id="3" w:name="_Hlk73715632"/>
      <w:r>
        <w:rPr>
          <w:rFonts w:hint="default" w:ascii="Times New Roman" w:hAnsi="Times New Roman" w:cs="Times New Roman"/>
          <w:sz w:val="24"/>
          <w:szCs w:val="24"/>
          <w:shd w:val="clear" w:fill="auto"/>
        </w:rPr>
        <w:t>d</w:t>
      </w:r>
      <w:bookmarkStart w:id="4" w:name="_Hlk68252455"/>
      <w:r>
        <w:rPr>
          <w:rFonts w:hint="default" w:ascii="Times New Roman" w:hAnsi="Times New Roman" w:cs="Times New Roman"/>
          <w:sz w:val="24"/>
          <w:szCs w:val="24"/>
          <w:shd w:val="clear" w:fill="auto"/>
        </w:rPr>
        <w:t xml:space="preserve">e ${number_of_due_dates} </w:t>
      </w:r>
      <w:bookmarkEnd w:id="3"/>
      <w:r>
        <w:rPr>
          <w:rFonts w:hint="default" w:ascii="Times New Roman" w:hAnsi="Times New Roman" w:cs="Times New Roman"/>
          <w:b/>
          <w:bCs/>
          <w:sz w:val="24"/>
          <w:szCs w:val="24"/>
          <w:shd w:val="clear" w:fill="auto"/>
        </w:rPr>
        <w:t>${verbal_trial.periodicity.fr3}</w:t>
      </w:r>
      <w:r>
        <w:rPr>
          <w:rFonts w:hint="default" w:ascii="Times New Roman" w:hAnsi="Times New Roman" w:cs="Times New Roman"/>
          <w:b/>
          <w:sz w:val="24"/>
          <w:szCs w:val="24"/>
          <w:shd w:val="clear" w:fill="auto"/>
        </w:rPr>
        <w:t xml:space="preserve">, avec </w:t>
      </w:r>
      <w:bookmarkStart w:id="5" w:name="_Hlk78957570"/>
      <w:r>
        <w:rPr>
          <w:rFonts w:hint="default" w:ascii="Times New Roman" w:hAnsi="Times New Roman" w:cs="Times New Roman"/>
          <w:b/>
          <w:sz w:val="24"/>
          <w:szCs w:val="24"/>
          <w:shd w:val="clear" w:fill="auto"/>
        </w:rPr>
        <w:t xml:space="preserve">une échéance d’un montant </w:t>
      </w:r>
      <w:bookmarkStart w:id="6" w:name="_Hlk81292668"/>
      <w:r>
        <w:rPr>
          <w:rFonts w:hint="default" w:ascii="Times New Roman" w:hAnsi="Times New Roman" w:cs="Times New Roman"/>
          <w:b/>
          <w:sz w:val="24"/>
          <w:szCs w:val="24"/>
          <w:shd w:val="clear" w:fill="auto"/>
        </w:rPr>
        <w:t>de</w:t>
      </w:r>
      <w:r>
        <w:rPr>
          <w:rFonts w:hint="default" w:ascii="Times New Roman" w:hAnsi="Times New Roman" w:cs="Times New Roman"/>
          <w:b/>
          <w:sz w:val="24"/>
          <w:szCs w:val="24"/>
          <w:shd w:val="clear" w:fill="auto"/>
          <w:lang w:val="en-US"/>
        </w:rPr>
        <w:t xml:space="preserve"> ${deferred_amount} (${deferred_amount.fr}) F CFA ${number_deferred_fr} et</w:t>
      </w:r>
      <w:r>
        <w:rPr>
          <w:rFonts w:hint="default" w:ascii="Times New Roman" w:hAnsi="Times New Roman" w:cs="Times New Roman"/>
          <w:b/>
          <w:sz w:val="24"/>
          <w:szCs w:val="24"/>
          <w:shd w:val="clear" w:fill="auto"/>
        </w:rPr>
        <w:t xml:space="preserve"> </w:t>
      </w:r>
      <w:bookmarkEnd w:id="4"/>
      <w:bookmarkEnd w:id="5"/>
      <w:bookmarkEnd w:id="6"/>
      <w:r>
        <w:rPr>
          <w:rFonts w:hint="default" w:ascii="Times New Roman" w:hAnsi="Times New Roman" w:cs="Times New Roman"/>
          <w:b/>
          <w:sz w:val="24"/>
          <w:szCs w:val="24"/>
          <w:shd w:val="clear" w:fill="auto"/>
        </w:rPr>
        <w:t xml:space="preserve">${due_amount} (${due_amount.fr}) F CFA </w:t>
      </w:r>
      <w:bookmarkEnd w:id="2"/>
      <w:r>
        <w:rPr>
          <w:rFonts w:hint="default" w:ascii="Times New Roman" w:hAnsi="Times New Roman" w:cs="Times New Roman"/>
          <w:b/>
          <w:sz w:val="24"/>
          <w:szCs w:val="24"/>
          <w:shd w:val="clear" w:fill="auto"/>
          <w:lang w:val="en-US"/>
        </w:rPr>
        <w:t>${verbal_trial.periodicity.fr2} restant</w:t>
      </w:r>
      <w:r>
        <w:rPr>
          <w:rFonts w:hint="default" w:ascii="Times New Roman" w:hAnsi="Times New Roman" w:cs="Times New Roman"/>
          <w:b/>
          <w:sz w:val="24"/>
          <w:szCs w:val="24"/>
          <w:shd w:val="clear" w:fill="auto"/>
        </w:rPr>
        <w:t xml:space="preserve">. </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Un tableau d'amortissement, annexé au présent contrat, précisera le montant exact des échéances, incluant le capital et les intérêts. Ce tableau, détaillant le plan de remboursement, servira de référence définitive pour le calcul des mensualités, des intérêts et du capital restant dû pendant toute la durée du prêt.</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 xml:space="preserve">La première échéance du prêt est prévue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et la dernière échéance </w:t>
      </w:r>
      <w:r>
        <w:rPr>
          <w:rFonts w:hint="default" w:ascii="Times New Roman" w:hAnsi="Times New Roman" w:cs="Times New Roman"/>
          <w:color w:val="111111"/>
          <w:sz w:val="24"/>
          <w:szCs w:val="24"/>
          <w:shd w:val="clear" w:fill="auto"/>
        </w:rPr>
        <w:t>le ……………………………..</w:t>
      </w:r>
      <w:r>
        <w:rPr>
          <w:rFonts w:hint="default" w:ascii="Times New Roman" w:hAnsi="Times New Roman" w:cs="Times New Roman"/>
          <w:sz w:val="24"/>
          <w:szCs w:val="24"/>
        </w:rPr>
        <w:t xml:space="preserve"> comme il ressort du tableau d’amortissement faisant foi joint en annexe.</w:t>
      </w:r>
    </w:p>
    <w:p>
      <w:pPr>
        <w:rPr>
          <w:rFonts w:hint="default" w:ascii="Times New Roman" w:hAnsi="Times New Roman" w:cs="Times New Roman"/>
          <w:sz w:val="24"/>
          <w:szCs w:val="24"/>
        </w:rPr>
      </w:pPr>
      <w:r>
        <w:rPr>
          <w:rFonts w:hint="default" w:ascii="Times New Roman" w:hAnsi="Times New Roman" w:cs="Times New Roman"/>
          <w:sz w:val="24"/>
          <w:szCs w:val="24"/>
        </w:rPr>
        <w:br w:type="page"/>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4</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Mise à disposition du Prêt – Comptabilisation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opérations relatives au remboursement du présent prêt (intérêts et principal) seront retracées dans le compte N° </w:t>
      </w:r>
      <w:r>
        <w:rPr>
          <w:rFonts w:hint="default" w:ascii="Times New Roman" w:hAnsi="Times New Roman" w:cs="Times New Roman"/>
          <w:sz w:val="24"/>
          <w:szCs w:val="24"/>
          <w:shd w:val="clear" w:fill="auto"/>
        </w:rPr>
        <w:t>${verbal_trial.account_number}</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d</w:t>
      </w:r>
      <w:r>
        <w:rPr>
          <w:rFonts w:hint="default" w:ascii="Times New Roman" w:hAnsi="Times New Roman" w:cs="Times New Roman"/>
          <w:sz w:val="24"/>
          <w:szCs w:val="24"/>
        </w:rPr>
        <w:t>omicilié à COFINA Togo SA.</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Destination des fonds</w:t>
      </w:r>
    </w:p>
    <w:p>
      <w:pPr>
        <w:spacing w:line="240" w:lineRule="auto"/>
        <w:jc w:val="left"/>
        <w:rPr>
          <w:rFonts w:hint="default" w:ascii="Times New Roman" w:hAnsi="Times New Roman" w:cs="Times New Roman"/>
          <w:sz w:val="24"/>
          <w:szCs w:val="24"/>
        </w:rPr>
      </w:pPr>
      <w:r>
        <w:rPr>
          <w:rFonts w:hint="default" w:ascii="Times New Roman" w:hAnsi="Times New Roman" w:cs="Times New Roman"/>
          <w:sz w:val="24"/>
          <w:szCs w:val="24"/>
        </w:rPr>
        <w:t>4.1.L’Emprunteur déclare que les fonds sont destinés à ${verbal_trial.purpose_of_financing}.</w:t>
      </w:r>
      <w:bookmarkStart w:id="7" w:name="_Hlk156214266"/>
      <w:bookmarkEnd w:id="7"/>
    </w:p>
    <w:p>
      <w:pPr>
        <w:spacing w:line="240" w:lineRule="auto"/>
        <w:jc w:val="both"/>
        <w:rPr>
          <w:rFonts w:hint="default" w:ascii="Times New Roman" w:hAnsi="Times New Roman" w:cs="Times New Roman"/>
          <w:b/>
          <w:sz w:val="24"/>
          <w:szCs w:val="24"/>
        </w:rPr>
      </w:pPr>
      <w:r>
        <w:rPr>
          <w:rFonts w:hint="default" w:ascii="Times New Roman" w:hAnsi="Times New Roman" w:cs="Times New Roman"/>
          <w:sz w:val="24"/>
          <w:szCs w:val="24"/>
        </w:rPr>
        <w:t xml:space="preserve">4.2 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bCs/>
          <w:sz w:val="24"/>
          <w:szCs w:val="24"/>
        </w:rPr>
        <w:t xml:space="preserve">Article </w:t>
      </w:r>
      <w:r>
        <w:rPr>
          <w:rFonts w:hint="default" w:ascii="Times New Roman" w:hAnsi="Times New Roman" w:cs="Times New Roman"/>
          <w:b/>
          <w:bCs/>
          <w:sz w:val="24"/>
          <w:szCs w:val="24"/>
          <w:lang w:val="en-US"/>
        </w:rPr>
        <w:t>6</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 xml:space="preserve">Intérêts et mode de remboursement </w:t>
      </w: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.1 </w:t>
      </w:r>
      <w:r>
        <w:rPr>
          <w:rFonts w:hint="default" w:ascii="Times New Roman" w:hAnsi="Times New Roman" w:cs="Times New Roman"/>
          <w:b/>
          <w:bCs/>
          <w:sz w:val="24"/>
          <w:szCs w:val="24"/>
          <w:u w:val="single"/>
        </w:rPr>
        <w:t xml:space="preserve">Intérêts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s'oblige à payer, sur le montant en principal du Prêt non échu,</w:t>
      </w:r>
      <w:r>
        <w:rPr>
          <w:rFonts w:hint="default" w:ascii="Times New Roman" w:hAnsi="Times New Roman" w:cs="Times New Roman"/>
          <w:b/>
          <w:sz w:val="24"/>
          <w:szCs w:val="24"/>
          <w:shd w:val="clear" w:fill="auto"/>
        </w:rPr>
        <w:t xml:space="preserve"> ${total_amount_of_interest}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 (${total_amount_of_interest.fr} F CFA),</w:t>
      </w:r>
      <w:r>
        <w:rPr>
          <w:rFonts w:hint="default" w:ascii="Times New Roman" w:hAnsi="Times New Roman" w:cs="Times New Roman"/>
          <w:sz w:val="24"/>
          <w:szCs w:val="24"/>
        </w:rPr>
        <w:t xml:space="preserve"> déterminés sur la base d'un taux fixé à ${ht_rate} % hors taxes.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intérêts seront payables par l'Emprunteur mensuellement sur le capital échu et seront compris dans les remboursements périodiques mentionnés à l'article </w:t>
      </w: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 ci-dessous.</w:t>
      </w:r>
    </w:p>
    <w:p>
      <w:pPr>
        <w:spacing w:line="240" w:lineRule="auto"/>
        <w:jc w:val="both"/>
        <w:rPr>
          <w:rFonts w:hint="default" w:ascii="Times New Roman" w:hAnsi="Times New Roman" w:cs="Times New Roman"/>
          <w:b/>
          <w:sz w:val="24"/>
          <w:szCs w:val="24"/>
          <w:u w:val="single"/>
        </w:rPr>
      </w:pPr>
    </w:p>
    <w:p>
      <w:pPr>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u w:val="single"/>
          <w:lang w:val="en-US"/>
        </w:rPr>
        <w:t>6</w:t>
      </w:r>
      <w:r>
        <w:rPr>
          <w:rFonts w:hint="default" w:ascii="Times New Roman" w:hAnsi="Times New Roman" w:cs="Times New Roman"/>
          <w:b/>
          <w:sz w:val="24"/>
          <w:szCs w:val="24"/>
          <w:u w:val="single"/>
        </w:rPr>
        <w:t xml:space="preserve">.2 Mode de remboursement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Ainsi le montant de l’échéance mensuelle est morcelé en paiement quotidien soit ${day_due_amount.fr}(${day_due_amount}</w:t>
      </w:r>
      <w:r>
        <w:rPr>
          <w:rFonts w:hint="default" w:ascii="Times New Roman" w:hAnsi="Times New Roman" w:cs="Times New Roman"/>
          <w:sz w:val="24"/>
          <w:szCs w:val="24"/>
          <w:lang w:val="en-US"/>
        </w:rPr>
        <w:t xml:space="preserve"> F CFA</w:t>
      </w:r>
      <w:r>
        <w:rPr>
          <w:rFonts w:hint="default" w:ascii="Times New Roman" w:hAnsi="Times New Roman" w:cs="Times New Roman"/>
          <w:sz w:val="24"/>
          <w:szCs w:val="24"/>
        </w:rPr>
        <w:t>) (soit l’échéance mensuelle divisé par</w:t>
      </w:r>
      <w:r>
        <w:rPr>
          <w:rFonts w:hint="default" w:ascii="Times New Roman" w:hAnsi="Times New Roman" w:cs="Times New Roman"/>
          <w:sz w:val="24"/>
          <w:szCs w:val="24"/>
          <w:lang w:val="en-US"/>
        </w:rPr>
        <w:t xml:space="preserve"> 20</w:t>
      </w:r>
      <w:r>
        <w:rPr>
          <w:rFonts w:hint="default" w:ascii="Times New Roman" w:hAnsi="Times New Roman" w:cs="Times New Roman"/>
          <w:sz w:val="24"/>
          <w:szCs w:val="24"/>
        </w:rPr>
        <w:t xml:space="preserve">) », collecté par les agents accrédités de COFINA TOGO SA à cet effet, contre signature du carnet de collecte ou délivrance d’un reçu dument signé par l’agent.  </w:t>
      </w:r>
    </w:p>
    <w:p>
      <w:pPr>
        <w:tabs>
          <w:tab w:val="left" w:pos="3564"/>
        </w:tabs>
        <w:spacing w:line="240" w:lineRule="auto"/>
        <w:jc w:val="both"/>
        <w:rPr>
          <w:rFonts w:hint="default" w:ascii="Times New Roman" w:hAnsi="Times New Roman" w:cs="Times New Roman"/>
          <w:b/>
          <w:sz w:val="24"/>
          <w:szCs w:val="24"/>
          <w:u w:val="single"/>
        </w:rPr>
      </w:pPr>
      <w:r>
        <w:rPr>
          <w:rFonts w:hint="default" w:ascii="Times New Roman" w:hAnsi="Times New Roman" w:cs="Times New Roman"/>
          <w:b/>
          <w:sz w:val="24"/>
          <w:szCs w:val="24"/>
        </w:rPr>
        <w:t>Article </w:t>
      </w:r>
      <w:r>
        <w:rPr>
          <w:rFonts w:hint="default" w:ascii="Times New Roman" w:hAnsi="Times New Roman" w:cs="Times New Roman"/>
          <w:b/>
          <w:sz w:val="24"/>
          <w:szCs w:val="24"/>
          <w:lang w:val="en-US"/>
        </w:rPr>
        <w:t>7</w:t>
      </w:r>
      <w:r>
        <w:rPr>
          <w:rFonts w:hint="default" w:ascii="Times New Roman" w:hAnsi="Times New Roman" w:cs="Times New Roman"/>
          <w:b/>
          <w:sz w:val="24"/>
          <w:szCs w:val="24"/>
        </w:rPr>
        <w:t xml:space="preserve"> : </w:t>
      </w:r>
      <w:r>
        <w:rPr>
          <w:rFonts w:hint="default" w:ascii="Times New Roman" w:hAnsi="Times New Roman" w:cs="Times New Roman"/>
          <w:b/>
          <w:sz w:val="24"/>
          <w:szCs w:val="24"/>
          <w:u w:val="single"/>
        </w:rPr>
        <w:t>Principal</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7</w:t>
      </w:r>
      <w:r>
        <w:rPr>
          <w:rFonts w:hint="default" w:ascii="Times New Roman" w:hAnsi="Times New Roman" w:cs="Times New Roman"/>
          <w:sz w:val="24"/>
          <w:szCs w:val="24"/>
        </w:rPr>
        <w:t xml:space="preserve">.1 L'Emprunteur s'oblige à rembourser le montant en principal du prêt soit </w:t>
      </w:r>
      <w:bookmarkStart w:id="8" w:name="_Hlk72913289"/>
      <w:r>
        <w:rPr>
          <w:rFonts w:hint="default" w:ascii="Times New Roman" w:hAnsi="Times New Roman" w:cs="Times New Roman"/>
          <w:sz w:val="24"/>
          <w:szCs w:val="24"/>
        </w:rPr>
        <w:t xml:space="preserve">de </w:t>
      </w:r>
      <w:bookmarkEnd w:id="8"/>
      <w:r>
        <w:rPr>
          <w:rFonts w:hint="default" w:ascii="Times New Roman" w:hAnsi="Times New Roman" w:cs="Times New Roman"/>
          <w:sz w:val="24"/>
          <w:szCs w:val="24"/>
        </w:rPr>
        <w:t xml:space="preserve"> ${total_to_pay}</w:t>
      </w:r>
      <w:r>
        <w:rPr>
          <w:rFonts w:hint="default" w:ascii="Times New Roman" w:hAnsi="Times New Roman" w:cs="Times New Roman"/>
          <w:sz w:val="24"/>
          <w:szCs w:val="24"/>
          <w:lang w:val="en-US"/>
        </w:rPr>
        <w:t xml:space="preserve"> </w:t>
      </w:r>
      <w:r>
        <w:rPr>
          <w:rFonts w:hint="default" w:ascii="Times New Roman" w:hAnsi="Times New Roman" w:cs="Times New Roman"/>
          <w:b/>
          <w:sz w:val="24"/>
          <w:szCs w:val="24"/>
          <w:shd w:val="clear" w:fill="auto"/>
        </w:rPr>
        <w:t xml:space="preserve">F CFA, Soit ${total_to_pay.fr} F CFA </w:t>
      </w:r>
      <w:r>
        <w:rPr>
          <w:rFonts w:hint="default" w:ascii="Times New Roman" w:hAnsi="Times New Roman" w:cs="Times New Roman"/>
          <w:b/>
          <w:sz w:val="24"/>
          <w:szCs w:val="24"/>
        </w:rPr>
        <w:t xml:space="preserve">, </w:t>
      </w:r>
      <w:r>
        <w:rPr>
          <w:rFonts w:hint="default" w:ascii="Times New Roman" w:hAnsi="Times New Roman" w:cs="Times New Roman"/>
          <w:sz w:val="24"/>
          <w:szCs w:val="24"/>
        </w:rPr>
        <w:t xml:space="preserve">comprenant la somme nécessaire à l’amortissement du capital et les intérêts au taux stipulé à l’article </w:t>
      </w:r>
      <w:r>
        <w:rPr>
          <w:rFonts w:hint="default" w:ascii="Times New Roman" w:hAnsi="Times New Roman" w:cs="Times New Roman"/>
          <w:sz w:val="24"/>
          <w:szCs w:val="24"/>
          <w:lang w:val="en-US"/>
        </w:rPr>
        <w:t>6</w:t>
      </w:r>
      <w:r>
        <w:rPr>
          <w:rFonts w:hint="default" w:ascii="Times New Roman" w:hAnsi="Times New Roman" w:cs="Times New Roman"/>
          <w:sz w:val="24"/>
          <w:szCs w:val="24"/>
        </w:rPr>
        <w:t xml:space="preserve"> ci-dessus. </w:t>
      </w:r>
    </w:p>
    <w:p>
      <w:pPr>
        <w:spacing w:line="240" w:lineRule="auto"/>
        <w:jc w:val="both"/>
        <w:rPr>
          <w:rFonts w:hint="default" w:ascii="Times New Roman" w:hAnsi="Times New Roman" w:cs="Times New Roman"/>
          <w:b/>
          <w:bCs/>
          <w:sz w:val="24"/>
          <w:szCs w:val="24"/>
          <w:u w:val="single"/>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8</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Intérêts de retard</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.1 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.2 Le taux d'intérêt appliqué sera majoré de 0,3% de l'échéance due plus un montant de 1000F forfaitaire. Il sera appliqué dès le 1er jour de retard, étant considéré que dès le 1er jour, le mois entier sera dû</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lang w:val="en-US"/>
        </w:rPr>
        <w:t>8</w:t>
      </w:r>
      <w:r>
        <w:rPr>
          <w:rFonts w:hint="default" w:ascii="Times New Roman" w:hAnsi="Times New Roman" w:cs="Times New Roman"/>
          <w:sz w:val="24"/>
          <w:szCs w:val="24"/>
        </w:rPr>
        <w:t xml:space="preserve">.3 Les intérêts, et ce compris les intérêts de retard, porteront eux-mêmes intérêt au taux défini au présent article s'ils sont dus pour une année entière.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9</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Garanties et conforts</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A la sûreté et garantie du remboursement du présent prêt, soit la somme </w:t>
      </w:r>
      <w:r>
        <w:rPr>
          <w:rFonts w:hint="default" w:ascii="Times New Roman" w:hAnsi="Times New Roman" w:cs="Times New Roman"/>
          <w:b/>
          <w:sz w:val="24"/>
          <w:szCs w:val="24"/>
          <w:shd w:val="clear" w:fill="auto"/>
        </w:rPr>
        <w:t>Soit ${total_to_pay.fr} F CFA</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sz w:val="24"/>
          <w:szCs w:val="24"/>
        </w:rPr>
        <w:t xml:space="preserve"> </w:t>
      </w:r>
      <w:r>
        <w:rPr>
          <w:rFonts w:hint="default" w:ascii="Times New Roman" w:hAnsi="Times New Roman" w:cs="Times New Roman"/>
          <w:b/>
          <w:sz w:val="24"/>
          <w:szCs w:val="24"/>
          <w:shd w:val="clear" w:fill="auto"/>
        </w:rPr>
        <w:t>${total_to_pay}</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F CFA</w:t>
      </w:r>
      <w:r>
        <w:rPr>
          <w:rFonts w:hint="default" w:ascii="Times New Roman" w:hAnsi="Times New Roman" w:cs="Times New Roman"/>
          <w:b/>
          <w:sz w:val="24"/>
          <w:szCs w:val="24"/>
          <w:shd w:val="clear" w:fill="auto"/>
          <w:lang w:val="en-US"/>
        </w:rPr>
        <w:t>)</w:t>
      </w:r>
      <w:r>
        <w:rPr>
          <w:rFonts w:hint="default" w:ascii="Times New Roman" w:hAnsi="Times New Roman" w:cs="Times New Roman"/>
          <w:b/>
          <w:sz w:val="24"/>
          <w:szCs w:val="24"/>
          <w:shd w:val="clear" w:fill="auto"/>
        </w:rPr>
        <w:t xml:space="preserve"> </w:t>
      </w:r>
      <w:r>
        <w:rPr>
          <w:rFonts w:hint="default" w:ascii="Times New Roman" w:hAnsi="Times New Roman" w:cs="Times New Roman"/>
          <w:sz w:val="24"/>
          <w:szCs w:val="24"/>
          <w:shd w:val="clear" w:fill="auto"/>
        </w:rPr>
        <w:t xml:space="preserve">soit le montant du crédit + </w:t>
      </w:r>
      <w:r>
        <w:rPr>
          <w:rFonts w:hint="default" w:ascii="Times New Roman" w:hAnsi="Times New Roman" w:cs="Times New Roman"/>
          <w:b/>
          <w:sz w:val="24"/>
          <w:szCs w:val="24"/>
          <w:shd w:val="clear" w:fill="auto"/>
        </w:rPr>
        <w:t>${total_amount_of_interest} (${total_amount_of_interest.fr}),</w:t>
      </w:r>
      <w:r>
        <w:rPr>
          <w:rFonts w:hint="default" w:ascii="Times New Roman" w:hAnsi="Times New Roman" w:cs="Times New Roman"/>
          <w:b/>
          <w:sz w:val="24"/>
          <w:szCs w:val="24"/>
        </w:rPr>
        <w:t xml:space="preserve"> </w:t>
      </w:r>
      <w:r>
        <w:rPr>
          <w:rFonts w:hint="default" w:ascii="Times New Roman" w:hAnsi="Times New Roman" w:cs="Times New Roman"/>
          <w:sz w:val="24"/>
          <w:szCs w:val="24"/>
        </w:rPr>
        <w:t>à la garantie de tous intérêts, frais et accessoires, et, d’une manière générale, à la garantie de l’exécution de toutes les obligations du Client résultant du présent acte, le Client confère à l’institution, qui accepte, les garanties ci-après désignées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numPr>
          <w:ilvl w:val="0"/>
          <w:numId w:val="2"/>
        </w:num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${type_of_guarantee.name} </w:t>
      </w:r>
      <w:r>
        <w:rPr>
          <w:rFonts w:hint="default" w:ascii="Times New Roman" w:hAnsi="Times New Roman" w:cs="Times New Roman"/>
          <w:sz w:val="24"/>
          <w:szCs w:val="24"/>
          <w:lang w:val="en-US"/>
        </w:rPr>
        <w:t xml:space="preserve">: </w:t>
      </w:r>
      <w:r>
        <w:rPr>
          <w:rFonts w:hint="default" w:ascii="Times New Roman" w:hAnsi="Times New Roman" w:cs="Times New Roman"/>
          <w:sz w:val="24"/>
          <w:szCs w:val="24"/>
        </w:rPr>
        <w:t> ${comment}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${/guaranteeList}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En cas de disparition totale ou partielle de la garantie ou de l'une quelconque des garanties prises au profit de l’institution, pour quelque cause que ce soit, l’institution pourra demander l'exigibilité anticipée de toute somme due par le Client au titre des présentes, si le Client ne fournit pas une nouvelle garantie équivalente dans le mois suivant la date de survenance de l'événement entraînant ou susceptible d'entraîner la disparition de ladite garantie.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Les garanties qui précèdent s’ajoutent ou s’ajouteront à toutes garanties réelles ou personnelles qui ont pu ou pourront être fournies au profit de l’institution par le Client ou par tous tiers.</w:t>
      </w: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10</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Externalisation du recouvrement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difficulté de recouvrement du montant dû par l'emprunteur, l’Institution se réserve le droit de confier, en tout ou en partie, la gestion du dossier à un prestataire spécialisé dans le recouvrement de créances. Cette sous-traitance pourra intervenir sans préjudice des droits de l'emprunteur et sera effectuée conformément à la législation en vigueur.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autorise L’institution à communiquer à ce prestataire toutes les informations nécessaires à la gestion du recouvrement, y compris ses coordonnées et les détails du crédit, conformément aux règles de confidentialité et protection des données personnelles.</w:t>
      </w:r>
    </w:p>
    <w:p>
      <w:pPr>
        <w:tabs>
          <w:tab w:val="left" w:pos="3660"/>
        </w:tabs>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 xml:space="preserve">Article </w:t>
      </w:r>
      <w:r>
        <w:rPr>
          <w:rFonts w:hint="default" w:ascii="Times New Roman" w:hAnsi="Times New Roman" w:cs="Times New Roman"/>
          <w:b/>
          <w:sz w:val="24"/>
          <w:szCs w:val="24"/>
          <w:lang w:val="en-US"/>
        </w:rPr>
        <w:t>11</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Exigibilité anticipée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Toutes les sommes dues par le Client à l’institution au titre du présent contrat seront exigibles par anticipation, immédiatement et de plein droit en cas de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Situation du Client irrémédiablement compromise ou comportement gravement répréhensible, ainsi que tous les cas où la loi le permet.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décès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exclusion par l’institution Centrale de la signature du Client,</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affectation du prêt à un objet autre que celui visé à l'article 1 des présentes,</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si les garanties énumérées à l’article « Garanties », dont l’institution doit bénéficier pour sûreté du présent prêt n’étaient  pas constituées ou maintenues ou si les garanties ne venaient pas au rang convenu,</w:t>
      </w:r>
    </w:p>
    <w:p>
      <w:pPr>
        <w:spacing w:before="0" w:after="0" w:line="240" w:lineRule="auto"/>
        <w:ind w:left="720"/>
        <w:jc w:val="both"/>
        <w:rPr>
          <w:rFonts w:hint="default" w:ascii="Times New Roman" w:hAnsi="Times New Roman" w:cs="Times New Roman"/>
          <w:sz w:val="24"/>
          <w:szCs w:val="24"/>
        </w:rPr>
      </w:pP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non réalisation à première demande de l’institution des promesses de garanties dont il est fait état à l’article « Garanties »,</w:t>
      </w:r>
    </w:p>
    <w:p>
      <w:pPr>
        <w:numPr>
          <w:ilvl w:val="0"/>
          <w:numId w:val="3"/>
        </w:numPr>
        <w:spacing w:before="0" w:after="0"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au cas où plus généralement le Client n'exécuterait pas l'une quelconque de ses obligations résultant du présent contrat et s’il n’y était pas remédié.</w:t>
      </w:r>
    </w:p>
    <w:p>
      <w:pPr>
        <w:spacing w:line="240" w:lineRule="auto"/>
        <w:jc w:val="both"/>
        <w:rPr>
          <w:rFonts w:hint="default" w:ascii="Times New Roman" w:hAnsi="Times New Roman" w:cs="Times New Roman"/>
          <w:b/>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2</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Cession</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L’institution pourra céder ses droits et obligations en vertu du présent contrat de Prêt.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En cas de survenance d’une telle éventualité, l’institution s’engage à ce que la cession n’entraine aucun coût supplémentaire pour l’Emprunteur. </w:t>
      </w:r>
    </w:p>
    <w:p>
      <w:pPr>
        <w:spacing w:line="240" w:lineRule="auto"/>
        <w:jc w:val="both"/>
        <w:rPr>
          <w:rFonts w:hint="default" w:ascii="Times New Roman" w:hAnsi="Times New Roman" w:cs="Times New Roman"/>
          <w:b/>
          <w:bCs/>
          <w:sz w:val="24"/>
          <w:szCs w:val="24"/>
        </w:rPr>
      </w:pPr>
      <w:r>
        <w:rPr>
          <w:rFonts w:hint="default" w:ascii="Times New Roman" w:hAnsi="Times New Roman" w:cs="Times New Roman"/>
          <w:b/>
          <w:bCs/>
          <w:sz w:val="24"/>
          <w:szCs w:val="24"/>
        </w:rPr>
        <w:t>Article 1</w:t>
      </w:r>
      <w:r>
        <w:rPr>
          <w:rFonts w:hint="default" w:ascii="Times New Roman" w:hAnsi="Times New Roman" w:cs="Times New Roman"/>
          <w:b/>
          <w:bCs/>
          <w:sz w:val="24"/>
          <w:szCs w:val="24"/>
          <w:lang w:val="en-US"/>
        </w:rPr>
        <w:t>3</w:t>
      </w:r>
      <w:r>
        <w:rPr>
          <w:rFonts w:hint="default" w:ascii="Times New Roman" w:hAnsi="Times New Roman" w:cs="Times New Roman"/>
          <w:b/>
          <w:bCs/>
          <w:sz w:val="24"/>
          <w:szCs w:val="24"/>
        </w:rPr>
        <w:t xml:space="preserve"> : </w:t>
      </w:r>
      <w:r>
        <w:rPr>
          <w:rFonts w:hint="default" w:ascii="Times New Roman" w:hAnsi="Times New Roman" w:cs="Times New Roman"/>
          <w:b/>
          <w:bCs/>
          <w:sz w:val="24"/>
          <w:szCs w:val="24"/>
          <w:u w:val="single"/>
        </w:rPr>
        <w:t>Report d’échéance</w:t>
      </w:r>
      <w:r>
        <w:rPr>
          <w:rFonts w:hint="default" w:ascii="Times New Roman" w:hAnsi="Times New Roman" w:cs="Times New Roman"/>
          <w:b/>
          <w:bCs/>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A la demande de l’emprunteur et au regard de sa situation financière, l’institution peut consentir un report d’échéance sans que cela ne donne lieu à une modification ou un avenant au présent contrat.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L’emprunteur sera informé par une notification écrite des conditions d’approbation du report d'échéance des paiements dus en vertu du présent contrat. Cette notification comportera, le cas échéant, la nouvelle date d'échéance ainsi que les modalités mises à jour concernant les montants dus, les intérêts, et les frais afférents au report. L’emprunteur devra, après réception de la notification de report, la signer afin de confirmer son acceptation des nouvelles conditions.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À la suite du report d'échéance, un nouveau tableau d'amortissement sera établi, tenant compte de l'extension des délais et des ajustements nécessaires au calcul des intérêts ou autres charges appliquées. Ce tableau, incluant les nouvelles échéances et montants, sera communiqué au client a la suite de la mise en place du report.</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Le client devra, après réception du tableau d'amortissement mis à jour, le signer. La signature de l’emprunteur constitue une preuve d'accord sur les modifications apportées au calendrier de paiement et aux conditions financières du contrat, résultant du report d'échéance.</w:t>
      </w:r>
    </w:p>
    <w:p>
      <w:pPr>
        <w:spacing w:line="240" w:lineRule="auto"/>
        <w:jc w:val="both"/>
        <w:rPr>
          <w:rFonts w:hint="default" w:ascii="Times New Roman" w:hAnsi="Times New Roman" w:cs="Times New Roman"/>
          <w:sz w:val="24"/>
          <w:szCs w:val="24"/>
        </w:rPr>
      </w:pPr>
    </w:p>
    <w:p>
      <w:pPr>
        <w:spacing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4</w:t>
      </w:r>
      <w:r>
        <w:rPr>
          <w:rFonts w:hint="default" w:ascii="Times New Roman" w:hAnsi="Times New Roman" w:cs="Times New Roman"/>
          <w:b/>
          <w:sz w:val="24"/>
          <w:szCs w:val="24"/>
        </w:rPr>
        <w:t> :</w:t>
      </w:r>
      <w:r>
        <w:rPr>
          <w:rFonts w:hint="default" w:ascii="Times New Roman" w:hAnsi="Times New Roman" w:cs="Times New Roman"/>
          <w:sz w:val="24"/>
          <w:szCs w:val="24"/>
        </w:rPr>
        <w:t xml:space="preserve"> </w:t>
      </w:r>
      <w:r>
        <w:rPr>
          <w:rFonts w:hint="default" w:ascii="Times New Roman" w:hAnsi="Times New Roman" w:cs="Times New Roman"/>
          <w:b/>
          <w:bCs/>
          <w:sz w:val="24"/>
          <w:szCs w:val="24"/>
          <w:u w:val="single"/>
        </w:rPr>
        <w:t>Impôts et frais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impôts ou taxes quelconques présents et à venir sur le principal ou les intérêts des sommes qui pourront être dues par le client seront à sa charge, y compris ceux dont l’institution sera légalement redevable.</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Tous les frais engagés par l’institution pour la mise en place du présent contrat et son exécution, notamment en cas de défaut, seront à la charge du Client. Il en sera de même de tous frais, honoraires engagés par l’institution en vue du recouvrement des sommes due par le Client.</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5</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 xml:space="preserve">Divers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.1 En aucun cas, l'Emprunteur ne pourra opposer à l’institution, dans le cadre de la présente Convention, des réclamations ou des exceptions quelles qu'elles soient, tirées de toute autre convention la liant avec elle. </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.2 Le fait que l’institution n'exerce pas l'un quelconque de ses droits au titre de la Convention, de même que tout délai apporté par l’institution dans I' exercice desdits droits ne vaudra pas abandon de ceux-ci. De même, l'exercice partiel d'un droit ou d'une seule des voies de droit mis à la disposition de l’institution n'interdira pas à cette dernière d'exercer totalement ses droits ou d'épuiser toutes les voies de droit mises à sa disposition. </w:t>
      </w:r>
    </w:p>
    <w:p>
      <w:pPr>
        <w:spacing w:line="240" w:lineRule="auto"/>
        <w:jc w:val="both"/>
        <w:rPr>
          <w:rFonts w:hint="default" w:ascii="Times New Roman" w:hAnsi="Times New Roman" w:cs="Times New Roman"/>
          <w:sz w:val="24"/>
          <w:szCs w:val="24"/>
          <w:highlight w:val="none"/>
          <w:u w:val="singl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.3 Tous préavis, avis, accords ou communications relatifs aux présentes devront être envoyés en langue française par courrier recommandé ou transmis par porteur avec cahier de transmission, ou par télécopie suivie d'une confirmation courrier.</w:t>
      </w:r>
    </w:p>
    <w:p>
      <w:pPr>
        <w:spacing w:line="240" w:lineRule="auto"/>
        <w:jc w:val="both"/>
        <w:rPr>
          <w:rFonts w:hint="default" w:ascii="Times New Roman" w:hAnsi="Times New Roman" w:cs="Times New Roman"/>
          <w:sz w:val="24"/>
          <w:szCs w:val="24"/>
          <w:highlight w:val="none"/>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 xml:space="preserve">.4 Au cas où l’une quelconque des dispositions de la Convention deviendrait ou serait déclarée nulle, interdite ou sans effet, la validité des autres dispositions de la Convention n’en serait pour autant pas remise en question, pour autant que l’objet principal de la Convention puisse être déterminé et réalisé.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5</w:t>
      </w:r>
      <w:r>
        <w:rPr>
          <w:rFonts w:hint="default" w:ascii="Times New Roman" w:hAnsi="Times New Roman" w:cs="Times New Roman"/>
          <w:sz w:val="24"/>
          <w:szCs w:val="24"/>
        </w:rPr>
        <w:t>.5 L’Emprunteur paiera et indemnisera l’institution outre toute taxe, de tout droit de timbre ou tout autre impôt imposé par quelque autorité nationale ou supranationale qui pourrait être exigible ou déclaré tel à l’occasion de la signature, de l’application ou l’exécution des présentes, et notamment les frais d’enregistrement et de timbres.</w:t>
      </w:r>
    </w:p>
    <w:p>
      <w:pPr>
        <w:rPr>
          <w:rFonts w:hint="default" w:ascii="Times New Roman" w:hAnsi="Times New Roman" w:cs="Times New Roman"/>
          <w:b/>
          <w:sz w:val="24"/>
          <w:szCs w:val="24"/>
        </w:rPr>
      </w:pPr>
      <w:r>
        <w:rPr>
          <w:rFonts w:hint="default" w:ascii="Times New Roman" w:hAnsi="Times New Roman" w:cs="Times New Roman"/>
          <w:sz w:val="24"/>
          <w:szCs w:val="24"/>
        </w:rPr>
        <w:br w:type="page"/>
      </w:r>
    </w:p>
    <w:p>
      <w:pPr>
        <w:spacing w:before="0" w:after="200" w:line="240" w:lineRule="auto"/>
        <w:jc w:val="both"/>
        <w:rPr>
          <w:rFonts w:hint="default" w:ascii="Times New Roman" w:hAnsi="Times New Roman" w:cs="Times New Roman"/>
          <w:sz w:val="24"/>
          <w:szCs w:val="24"/>
        </w:rPr>
      </w:pPr>
      <w:r>
        <w:rPr>
          <w:rFonts w:hint="default" w:ascii="Times New Roman" w:hAnsi="Times New Roman" w:cs="Times New Roman"/>
          <w:b/>
          <w:sz w:val="24"/>
          <w:szCs w:val="24"/>
        </w:rPr>
        <w:t>Article 1</w:t>
      </w:r>
      <w:r>
        <w:rPr>
          <w:rFonts w:hint="default" w:ascii="Times New Roman" w:hAnsi="Times New Roman" w:cs="Times New Roman"/>
          <w:b/>
          <w:sz w:val="24"/>
          <w:szCs w:val="24"/>
          <w:lang w:val="en-US"/>
        </w:rPr>
        <w:t>6</w:t>
      </w:r>
      <w:r>
        <w:rPr>
          <w:rFonts w:hint="default" w:ascii="Times New Roman" w:hAnsi="Times New Roman" w:cs="Times New Roman"/>
          <w:sz w:val="24"/>
          <w:szCs w:val="24"/>
        </w:rPr>
        <w:t xml:space="preserve"> : </w:t>
      </w:r>
      <w:r>
        <w:rPr>
          <w:rFonts w:hint="default" w:ascii="Times New Roman" w:hAnsi="Times New Roman" w:cs="Times New Roman"/>
          <w:b/>
          <w:bCs/>
          <w:sz w:val="24"/>
          <w:szCs w:val="24"/>
          <w:u w:val="single"/>
        </w:rPr>
        <w:t>Droit applicable et attribution de compétence</w:t>
      </w:r>
      <w:r>
        <w:rPr>
          <w:rFonts w:hint="default" w:ascii="Times New Roman" w:hAnsi="Times New Roman" w:cs="Times New Roman"/>
          <w:sz w:val="24"/>
          <w:szCs w:val="24"/>
        </w:rPr>
        <w:t xml:space="preserv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.1 Le Contrat est régi par le droit Togolais.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1</w:t>
      </w:r>
      <w:r>
        <w:rPr>
          <w:rFonts w:hint="default" w:ascii="Times New Roman" w:hAnsi="Times New Roman" w:cs="Times New Roman"/>
          <w:sz w:val="24"/>
          <w:szCs w:val="24"/>
          <w:lang w:val="en-US"/>
        </w:rPr>
        <w:t>6</w:t>
      </w:r>
      <w:r>
        <w:rPr>
          <w:rFonts w:hint="default" w:ascii="Times New Roman" w:hAnsi="Times New Roman" w:cs="Times New Roman"/>
          <w:sz w:val="24"/>
          <w:szCs w:val="24"/>
        </w:rPr>
        <w:t>.2 Tout litige qui pourrait naître de l’interprétation et/ou de l’exécution du Contrat, qui n’aura pas été réglé à l’amiable, sera de la compétence des juridictions Togolaises.</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Fait à Lomé, le ………………</w:t>
      </w:r>
    </w:p>
    <w:p>
      <w:pPr>
        <w:spacing w:line="240" w:lineRule="auto"/>
        <w:jc w:val="both"/>
        <w:rPr>
          <w:rFonts w:hint="default" w:ascii="Times New Roman" w:hAnsi="Times New Roman" w:cs="Times New Roman"/>
          <w:sz w:val="24"/>
          <w:szCs w:val="24"/>
        </w:rPr>
      </w:pPr>
      <w:r>
        <w:rPr>
          <w:rFonts w:hint="default" w:ascii="Times New Roman" w:hAnsi="Times New Roman" w:cs="Times New Roman"/>
          <w:sz w:val="24"/>
          <w:szCs w:val="24"/>
        </w:rPr>
        <w:t xml:space="preserve">                                                                                                  En Trois (03) exemplaires </w:t>
      </w:r>
    </w:p>
    <w:p>
      <w:pPr>
        <w:jc w:val="center"/>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jc w:val="center"/>
        <w:rPr>
          <w:rFonts w:hint="default" w:ascii="Times New Roman" w:hAnsi="Times New Roman" w:cs="Times New Roman"/>
          <w:b/>
          <w:sz w:val="24"/>
          <w:szCs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 xml:space="preserve">                  </w:t>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 xml:space="preserve">                  </w:t>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Cs/>
          <w:iCs/>
          <w:sz w:val="24"/>
          <w:szCs w:val="24"/>
        </w:rPr>
      </w:pPr>
      <w:r>
        <w:rPr>
          <w:rFonts w:hint="default" w:ascii="Times New Roman" w:hAnsi="Times New Roman" w:cs="Times New Roman"/>
          <w:bCs/>
          <w:iCs/>
          <w:sz w:val="24"/>
          <w:szCs w:val="24"/>
        </w:rPr>
        <w:t xml:space="preserve">Head Crédit                                                           </w:t>
      </w:r>
      <w:r>
        <w:rPr>
          <w:rFonts w:hint="default" w:ascii="Times New Roman" w:hAnsi="Times New Roman" w:cs="Times New Roman"/>
          <w:bCs/>
          <w:iCs/>
          <w:sz w:val="24"/>
          <w:szCs w:val="24"/>
          <w:lang w:val="en-US"/>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sz w:val="24"/>
          <w:szCs w:val="24"/>
        </w:rPr>
      </w:pPr>
    </w:p>
    <w:p>
      <w:pPr>
        <w:rPr>
          <w:rFonts w:hint="default" w:ascii="Times New Roman" w:hAnsi="Times New Roman" w:cs="Times New Roman"/>
          <w:b/>
          <w:bCs/>
          <w:iCs/>
          <w:sz w:val="24"/>
          <w:szCs w:val="24"/>
        </w:rPr>
      </w:pPr>
      <w:r>
        <w:rPr>
          <w:rFonts w:hint="default" w:ascii="Times New Roman" w:hAnsi="Times New Roman" w:cs="Times New Roman"/>
          <w:bCs/>
          <w:iCs/>
          <w:sz w:val="24"/>
          <w:szCs w:val="24"/>
        </w:rPr>
        <w:t xml:space="preserve">                                   </w:t>
      </w:r>
    </w:p>
    <w:p>
      <w:pPr>
        <w:rPr>
          <w:rFonts w:hint="default" w:ascii="Times New Roman" w:hAnsi="Times New Roman" w:cs="Times New Roman"/>
          <w:sz w:val="24"/>
          <w:szCs w:val="24"/>
        </w:rPr>
      </w:pPr>
      <w:r>
        <w:rPr>
          <w:rFonts w:hint="default" w:ascii="Times New Roman" w:hAnsi="Times New Roman" w:cs="Times New Roman"/>
          <w:b/>
          <w:bCs/>
          <w:sz w:val="24"/>
          <w:szCs w:val="24"/>
        </w:rPr>
        <w:t xml:space="preserve">                                                      </w:t>
      </w:r>
    </w:p>
    <w:p>
      <w:pPr>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Pour le Client </w:t>
      </w:r>
    </w:p>
    <w:p>
      <w:pPr>
        <w:jc w:val="center"/>
        <w:rPr>
          <w:rFonts w:hint="default" w:ascii="Times New Roman" w:hAnsi="Times New Roman" w:cs="Times New Roman"/>
          <w:b/>
          <w:sz w:val="24"/>
          <w:szCs w:val="24"/>
          <w:highlight w:val="yellow"/>
        </w:rPr>
      </w:pPr>
    </w:p>
    <w:p>
      <w:pPr>
        <w:jc w:val="center"/>
        <w:rPr>
          <w:rFonts w:hint="default" w:ascii="Times New Roman" w:hAnsi="Times New Roman" w:cs="Times New Roman"/>
          <w:b/>
          <w:bCs w:val="0"/>
          <w:sz w:val="24"/>
          <w:szCs w:val="24"/>
          <w:highlight w:val="yellow"/>
        </w:rPr>
      </w:pPr>
    </w:p>
    <w:p>
      <w:pPr>
        <w:spacing w:before="0" w:after="200"/>
        <w:jc w:val="center"/>
        <w:rPr>
          <w:rFonts w:hint="default" w:ascii="Times New Roman" w:hAnsi="Times New Roman" w:cs="Times New Roman"/>
          <w:sz w:val="24"/>
          <w:szCs w:val="24"/>
          <w:highlight w:val="none"/>
          <w:shd w:val="clear" w:fill="auto"/>
        </w:rPr>
      </w:pPr>
      <w:r>
        <w:rPr>
          <w:rFonts w:hint="default" w:ascii="Times New Roman" w:hAnsi="Times New Roman" w:cs="Times New Roman"/>
          <w:b/>
          <w:bCs w:val="0"/>
          <w:iCs/>
          <w:sz w:val="24"/>
          <w:szCs w:val="24"/>
          <w:shd w:val="clear" w:fill="auto"/>
        </w:rPr>
        <w:t xml:space="preserve"> ${verbal_trial.civility} ${verbal_trial.applicant_last_name} ${verbal_trial.applicant_first_name}</w:t>
      </w:r>
    </w:p>
    <w:sectPr>
      <w:footerReference r:id="rId8" w:type="first"/>
      <w:headerReference r:id="rId5" w:type="default"/>
      <w:footerReference r:id="rId6" w:type="default"/>
      <w:footerReference r:id="rId7" w:type="even"/>
      <w:pgSz w:w="11906" w:h="16838"/>
      <w:pgMar w:top="1417" w:right="1417" w:bottom="1417" w:left="1417" w:header="708" w:footer="708" w:gutter="0"/>
      <w:pgNumType w:fmt="decimal" w:start="1"/>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Tahoma">
    <w:altName w:val="DejaVu Sans"/>
    <w:panose1 w:val="020B0604030504040204"/>
    <w:charset w:val="01"/>
    <w:family w:val="roman"/>
    <w:pitch w:val="default"/>
    <w:sig w:usb0="00000000" w:usb1="00000000" w:usb2="00000008" w:usb3="00000000" w:csb0="20000057" w:csb1="00080000"/>
  </w:font>
  <w:font w:name="DejaVu Sans">
    <w:panose1 w:val="020B0603030804020204"/>
    <w:charset w:val="00"/>
    <w:family w:val="auto"/>
    <w:pitch w:val="default"/>
    <w:sig w:usb0="E7006EFF" w:usb1="D200FDFF" w:usb2="0A246029" w:usb3="0400200C" w:csb0="600001FF" w:csb1="DFFF0000"/>
  </w:font>
  <w:font w:name="Noto Sans Devanagari">
    <w:panose1 w:val="020B0502040504020204"/>
    <w:charset w:val="00"/>
    <w:family w:val="auto"/>
    <w:pitch w:val="default"/>
    <w:sig w:usb0="80008023" w:usb1="00002046" w:usb2="00000000" w:usb3="00000000" w:csb0="00000001" w:csb1="00000000"/>
  </w:font>
  <w:font w:name="OpenSymbol">
    <w:panose1 w:val="05010000000000000000"/>
    <w:charset w:val="01"/>
    <w:family w:val="roman"/>
    <w:pitch w:val="default"/>
    <w:sig w:usb0="800000AF" w:usb1="1001ECEA" w:usb2="00000000" w:usb3="00000000" w:csb0="80000001" w:csb1="00000000"/>
  </w:font>
  <w:font w:name="Liberation Sans">
    <w:panose1 w:val="020B0604020202020204"/>
    <w:charset w:val="01"/>
    <w:family w:val="roman"/>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Liberation Mono">
    <w:panose1 w:val="02070409020205020404"/>
    <w:charset w:val="01"/>
    <w:family w:val="roman"/>
    <w:pitch w:val="default"/>
    <w:sig w:usb0="E0000AFF" w:usb1="400078FF" w:usb2="00000001" w:usb3="00000000" w:csb0="600001BF" w:csb1="DFF70000"/>
  </w:font>
  <w:font w:name="Noto Sans Mono CJK SC">
    <w:panose1 w:val="020B0500000000000000"/>
    <w:charset w:val="86"/>
    <w:family w:val="auto"/>
    <w:pitch w:val="default"/>
    <w:sig w:usb0="30000083" w:usb1="2BDF3C10" w:usb2="00000016" w:usb3="00000000" w:csb0="602E0107"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6"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7"/>
      <w:spacing w:before="0" w:after="200"/>
      <w:ind w:right="360"/>
    </w:pP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2"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4LeENK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${verbal_trial.applicant_last_name} ${verbal_trial.applicant_first_name}</w:t>
    </w:r>
    <w:r>
      <w:rPr>
        <w:sz w:val="16"/>
        <w:szCs w:val="16"/>
      </w:rP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89230"/>
              <wp:effectExtent l="0" t="0" r="0" b="0"/>
              <wp:wrapSquare wrapText="bothSides"/>
              <wp:docPr id="3" name="Frame 2"/>
              <wp:cNvGraphicFramePr/>
              <a:graphic xmlns:a="http://schemas.openxmlformats.org/drawingml/2006/main">
                <a:graphicData uri="http://schemas.microsoft.com/office/word/2010/wordprocessingShape">
                  <wps:wsp>
                    <wps:cNvSpPr/>
                    <wps:spPr>
                      <a:xfrm>
                        <a:off x="0" y="0"/>
                        <a:ext cx="80640" cy="1893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 2" o:spid="_x0000_s1026" o:spt="1" style="position:absolute;left:0pt;margin-top:0.05pt;height:14.9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MGwfr68BAACBAwAADgAAAAAAAAABACAAAAAzAQAAZHJzL2Uyb0RvYy54&#10;bWxQSwECFAAUAAAACACHTuJAROqcNc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sz w:val="16"/>
        <w:szCs w:val="16"/>
      </w:rPr>
      <w:t>CONTRAT DE CREDIT COFINA –</w:t>
    </w:r>
    <w:r>
      <w:rPr>
        <w:rFonts w:ascii="Times New Roman" w:hAnsi="Times New Roman"/>
        <w:b/>
      </w:rPr>
      <w:t xml:space="preserve"> ${verbal_trial.civility}</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4" name="Frame2"/>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2"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AD5GSI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color w:val="000000"/>
                        <w:sz w:val="16"/>
                        <w:szCs w:val="16"/>
                      </w:rPr>
                      <w:t>CONTRAT DE CREDIT COFINA –</w:t>
                    </w:r>
                    <w:r>
                      <w:rPr>
                        <w:rFonts w:ascii="Times New Roman" w:hAnsi="Times New Roman"/>
                        <w:b/>
                        <w:color w:val="000000"/>
                      </w:rPr>
                      <w:t xml:space="preserve"> </w:t>
                    </w:r>
                    <w:r>
                      <w:rPr>
                        <w:b/>
                        <w:bCs/>
                        <w:iCs/>
                        <w:color w:val="000000"/>
                        <w:sz w:val="16"/>
                        <w:szCs w:val="16"/>
                        <w:highlight w:val="yellow"/>
                      </w:rPr>
                      <w:t>« Civilité nom et prénom du client »</w:t>
                    </w: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14605" cy="14605"/>
              <wp:effectExtent l="0" t="0" r="0" b="0"/>
              <wp:wrapSquare wrapText="bothSides"/>
              <wp:docPr id="5" name="Frame3"/>
              <wp:cNvGraphicFramePr/>
              <a:graphic xmlns:a="http://schemas.openxmlformats.org/drawingml/2006/main">
                <a:graphicData uri="http://schemas.microsoft.com/office/word/2010/wordprocessingShape">
                  <wps:wsp>
                    <wps:cNvSpPr/>
                    <wps:spPr>
                      <a:xfrm>
                        <a:off x="0" y="0"/>
                        <a:ext cx="14760" cy="147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wps:txbx>
                    <wps:bodyPr lIns="0" tIns="0" rIns="0" bIns="0" anchor="t">
                      <a:spAutoFit/>
                    </wps:bodyPr>
                  </wps:wsp>
                </a:graphicData>
              </a:graphic>
            </wp:anchor>
          </w:drawing>
        </mc:Choice>
        <mc:Fallback>
          <w:pict>
            <v:rect id="Frame3" o:spid="_x0000_s1026" o:spt="1" style="position:absolute;left:0pt;margin-top:0.05pt;height:1.15pt;width:1.1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0</w:t>
                    </w:r>
                    <w:r>
                      <w:rPr>
                        <w:rStyle w:val="10"/>
                        <w:color w:val="000000"/>
                      </w:rPr>
                      <w:fldChar w:fldCharType="end"/>
                    </w:r>
                  </w:p>
                </w:txbxContent>
              </v:textbox>
              <w10:wrap type="square"/>
            </v:rect>
          </w:pict>
        </mc:Fallback>
      </mc:AlternateContent>
    </w:r>
    <w:r>
      <w:rPr>
        <w:b/>
        <w:bCs/>
        <w:iCs/>
        <w:sz w:val="16"/>
        <w:szCs w:val="16"/>
        <w:shd w:val="clear" w:fill="auto"/>
      </w:rPr>
      <w:t xml:space="preserve"> ${verbal_trial.applicant_name}</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spacing w:before="0" w:after="200" w:line="240" w:lineRule="auto"/>
      <w:jc w:val="both"/>
    </w:pPr>
    <w:r>
      <w:rPr>
        <w:sz w:val="16"/>
        <w:szCs w:val="16"/>
      </w:rPr>
      <w:t>CONTRAT DE CREDIT COFINA –</w:t>
    </w:r>
    <w:r>
      <w:rPr>
        <w:rFonts w:ascii="Times New Roman" w:hAnsi="Times New Roman"/>
        <w:b/>
      </w:rPr>
      <w:t xml:space="preserve"> ${verbal_trial.civility}</w:t>
    </w:r>
    <w:r>
      <w:rPr>
        <w:b/>
        <w:bCs/>
        <w:iCs/>
        <w:sz w:val="16"/>
        <w:szCs w:val="16"/>
        <w:shd w:val="clear" w:fill="auto"/>
      </w:rPr>
      <w:t xml:space="preserve"> </w:t>
    </w:r>
    <w:r>
      <mc:AlternateContent>
        <mc:Choice Requires="wps">
          <w:drawing>
            <wp:anchor distT="0" distB="0" distL="0" distR="0" simplePos="0" relativeHeight="251659264" behindDoc="1" locked="0" layoutInCell="0" allowOverlap="1">
              <wp:simplePos x="0" y="0"/>
              <wp:positionH relativeFrom="margin">
                <wp:align>right</wp:align>
              </wp:positionH>
              <wp:positionV relativeFrom="paragraph">
                <wp:posOffset>635</wp:posOffset>
              </wp:positionV>
              <wp:extent cx="80645" cy="169545"/>
              <wp:effectExtent l="0" t="0" r="0" b="0"/>
              <wp:wrapSquare wrapText="bothSides"/>
              <wp:docPr id="7" name="Frame1"/>
              <wp:cNvGraphicFramePr/>
              <a:graphic xmlns:a="http://schemas.openxmlformats.org/drawingml/2006/main">
                <a:graphicData uri="http://schemas.microsoft.com/office/word/2010/wordprocessingShape">
                  <wps:wsp>
                    <wps:cNvSpPr/>
                    <wps:spPr>
                      <a:xfrm>
                        <a:off x="0" y="0"/>
                        <a:ext cx="80640" cy="169560"/>
                      </a:xfrm>
                      <a:prstGeom prst="rect">
                        <a:avLst/>
                      </a:prstGeom>
                      <a:noFill/>
                      <a:ln w="0">
                        <a:noFill/>
                      </a:ln>
                    </wps:spPr>
                    <wps:style>
                      <a:lnRef idx="0">
                        <a:srgbClr val="FFFFFF"/>
                      </a:lnRef>
                      <a:fillRef idx="0">
                        <a:srgbClr val="FFFFFF"/>
                      </a:fillRef>
                      <a:effectRef idx="0">
                        <a:srgbClr val="FFFFFF"/>
                      </a:effectRef>
                      <a:fontRef idx="minor"/>
                    </wps:style>
                    <wps:txbx>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wps:txbx>
                    <wps:bodyPr lIns="0" tIns="0" rIns="0" bIns="0" anchor="t">
                      <a:spAutoFit/>
                    </wps:bodyPr>
                  </wps:wsp>
                </a:graphicData>
              </a:graphic>
            </wp:anchor>
          </w:drawing>
        </mc:Choice>
        <mc:Fallback>
          <w:pict>
            <v:rect id="Frame1" o:spid="_x0000_s1026" o:spt="1" style="position:absolute;left:0pt;margin-top:0.05pt;height:13.35pt;width:6.35pt;mso-position-horizontal:right;mso-position-horizontal-relative:margin;mso-wrap-distance-bottom:0pt;mso-wrap-distance-left:0pt;mso-wrap-distance-right:0pt;mso-wrap-distance-top:0pt;z-index:-251657216;mso-width-relative:page;mso-height-relative:page;" filled="f" stroked="f" coordsize="21600,21600" o:allowincell="f" o:gfxdata="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">
              <v:fill on="f" focussize="0,0"/>
              <v:stroke on="f" weight="0pt"/>
              <v:imagedata o:title=""/>
              <o:lock v:ext="edit" aspectratio="f"/>
              <v:textbox inset="0mm,0mm,0mm,0mm" style="mso-fit-shape-to-text:t;">
                <w:txbxContent>
                  <w:p>
                    <w:pPr>
                      <w:pStyle w:val="7"/>
                      <w:spacing w:before="0" w:after="200"/>
                      <w:rPr>
                        <w:rStyle w:val="10"/>
                      </w:rPr>
                    </w:pPr>
                    <w:r>
                      <w:rPr>
                        <w:rStyle w:val="10"/>
                        <w:color w:val="000000"/>
                      </w:rPr>
                      <w:fldChar w:fldCharType="begin"/>
                    </w:r>
                    <w:r>
                      <w:rPr>
                        <w:rStyle w:val="10"/>
                        <w:color w:val="000000"/>
                      </w:rPr>
                      <w:instrText xml:space="preserve"> PAGE </w:instrText>
                    </w:r>
                    <w:r>
                      <w:rPr>
                        <w:rStyle w:val="10"/>
                        <w:color w:val="000000"/>
                      </w:rPr>
                      <w:fldChar w:fldCharType="separate"/>
                    </w:r>
                    <w:r>
                      <w:rPr>
                        <w:rStyle w:val="10"/>
                        <w:color w:val="000000"/>
                      </w:rPr>
                      <w:t>7</w:t>
                    </w:r>
                    <w:r>
                      <w:rPr>
                        <w:rStyle w:val="10"/>
                        <w:color w:val="000000"/>
                      </w:rPr>
                      <w:fldChar w:fldCharType="end"/>
                    </w:r>
                  </w:p>
                </w:txbxContent>
              </v:textbox>
              <w10:wrap type="square"/>
            </v:rect>
          </w:pict>
        </mc:Fallback>
      </mc:AlternateContent>
    </w:r>
    <w:r>
      <w:rPr>
        <w:b/>
        <w:bCs/>
        <w:iCs/>
        <w:sz w:val="16"/>
        <w:szCs w:val="16"/>
        <w:shd w:val="clear" w:fill="auto"/>
      </w:rPr>
      <w:t>${verbal_trial.applicant_last_name} ${verbal_trial.applicant_first_name}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8"/>
      <w:spacing w:before="0" w:after="200"/>
      <w:jc w:val="center"/>
    </w:pPr>
    <w:r>
      <w:drawing>
        <wp:inline distT="0" distB="0" distL="0" distR="0">
          <wp:extent cx="2753360" cy="752475"/>
          <wp:effectExtent l="0" t="0" r="0" b="0"/>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2"/>
                  <pic:cNvPicPr>
                    <a:picLocks noChangeAspect="1" noChangeArrowheads="1"/>
                  </pic:cNvPicPr>
                </pic:nvPicPr>
                <pic:blipFill>
                  <a:blip r:embed="rId1"/>
                  <a:stretch>
                    <a:fillRect/>
                  </a:stretch>
                </pic:blipFill>
                <pic:spPr>
                  <a:xfrm>
                    <a:off x="0" y="0"/>
                    <a:ext cx="2753360" cy="752475"/>
                  </a:xfrm>
                  <a:prstGeom prst="rect">
                    <a:avLst/>
                  </a:prstGeom>
                </pic:spPr>
              </pic:pic>
            </a:graphicData>
          </a:graphic>
        </wp:inline>
      </w:drawing>
    </w:r>
  </w:p>
  <w:p>
    <w:pPr>
      <w:pStyle w:val="8"/>
      <w:spacing w:before="0" w:after="200"/>
      <w:jc w:val="left"/>
      <w:rPr>
        <w:lang w:val="en-US"/>
      </w:rPr>
    </w:pPr>
    <w:r>
      <w:rPr>
        <w:lang w:val="en-US"/>
      </w:rPr>
      <w:t>N°${verbal_trial.committee_id}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47C13"/>
    <w:multiLevelType w:val="multilevel"/>
    <w:tmpl w:val="DFF47C1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080"/>
        </w:tabs>
        <w:ind w:left="1080" w:hanging="360"/>
      </w:pPr>
    </w:lvl>
    <w:lvl w:ilvl="2" w:tentative="0">
      <w:start w:val="1"/>
      <w:numFmt w:val="decimal"/>
      <w:lvlText w:val="%3."/>
      <w:lvlJc w:val="left"/>
      <w:pPr>
        <w:tabs>
          <w:tab w:val="left" w:pos="1440"/>
        </w:tabs>
        <w:ind w:left="1440" w:hanging="360"/>
      </w:pPr>
    </w:lvl>
    <w:lvl w:ilvl="3" w:tentative="0">
      <w:start w:val="1"/>
      <w:numFmt w:val="decimal"/>
      <w:lvlText w:val="%4."/>
      <w:lvlJc w:val="left"/>
      <w:pPr>
        <w:tabs>
          <w:tab w:val="left" w:pos="1800"/>
        </w:tabs>
        <w:ind w:left="1800" w:hanging="360"/>
      </w:pPr>
    </w:lvl>
    <w:lvl w:ilvl="4" w:tentative="0">
      <w:start w:val="1"/>
      <w:numFmt w:val="decimal"/>
      <w:lvlText w:val="%5."/>
      <w:lvlJc w:val="left"/>
      <w:pPr>
        <w:tabs>
          <w:tab w:val="left" w:pos="2160"/>
        </w:tabs>
        <w:ind w:left="2160" w:hanging="360"/>
      </w:pPr>
    </w:lvl>
    <w:lvl w:ilvl="5" w:tentative="0">
      <w:start w:val="1"/>
      <w:numFmt w:val="decimal"/>
      <w:lvlText w:val="%6."/>
      <w:lvlJc w:val="left"/>
      <w:pPr>
        <w:tabs>
          <w:tab w:val="left" w:pos="2520"/>
        </w:tabs>
        <w:ind w:left="2520" w:hanging="360"/>
      </w:pPr>
    </w:lvl>
    <w:lvl w:ilvl="6" w:tentative="0">
      <w:start w:val="1"/>
      <w:numFmt w:val="decimal"/>
      <w:lvlText w:val="%7."/>
      <w:lvlJc w:val="left"/>
      <w:pPr>
        <w:tabs>
          <w:tab w:val="left" w:pos="2880"/>
        </w:tabs>
        <w:ind w:left="2880" w:hanging="360"/>
      </w:pPr>
    </w:lvl>
    <w:lvl w:ilvl="7" w:tentative="0">
      <w:start w:val="1"/>
      <w:numFmt w:val="decimal"/>
      <w:lvlText w:val="%8."/>
      <w:lvlJc w:val="left"/>
      <w:pPr>
        <w:tabs>
          <w:tab w:val="left" w:pos="3240"/>
        </w:tabs>
        <w:ind w:left="3240" w:hanging="360"/>
      </w:pPr>
    </w:lvl>
    <w:lvl w:ilvl="8" w:tentative="0">
      <w:start w:val="1"/>
      <w:numFmt w:val="decimal"/>
      <w:lvlText w:val="%9."/>
      <w:lvlJc w:val="left"/>
      <w:pPr>
        <w:tabs>
          <w:tab w:val="left" w:pos="3600"/>
        </w:tabs>
        <w:ind w:left="3600" w:hanging="360"/>
      </w:pPr>
    </w:lvl>
  </w:abstractNum>
  <w:abstractNum w:abstractNumId="1">
    <w:nsid w:val="4C4E0D44"/>
    <w:multiLevelType w:val="multilevel"/>
    <w:tmpl w:val="4C4E0D44"/>
    <w:lvl w:ilvl="0" w:tentative="0">
      <w:start w:val="1"/>
      <w:numFmt w:val="bullet"/>
      <w:lvlText w:val=""/>
      <w:lvlJc w:val="left"/>
      <w:pPr>
        <w:tabs>
          <w:tab w:val="left" w:pos="2345"/>
        </w:tabs>
        <w:ind w:left="2345" w:hanging="360"/>
      </w:pPr>
      <w:rPr>
        <w:rFonts w:hint="default" w:ascii="Wingdings" w:hAnsi="Wingdings"/>
      </w:rPr>
    </w:lvl>
    <w:lvl w:ilvl="1" w:tentative="0">
      <w:start w:val="1"/>
      <w:numFmt w:val="bullet"/>
      <w:lvlText w:val="o"/>
      <w:lvlJc w:val="left"/>
      <w:pPr>
        <w:tabs>
          <w:tab w:val="left" w:pos="3065"/>
        </w:tabs>
        <w:ind w:left="3065" w:hanging="360"/>
      </w:pPr>
      <w:rPr>
        <w:rFonts w:hint="default" w:ascii="Courier New" w:hAnsi="Courier New" w:cs="Courier New"/>
      </w:rPr>
    </w:lvl>
    <w:lvl w:ilvl="2" w:tentative="0">
      <w:start w:val="1"/>
      <w:numFmt w:val="bullet"/>
      <w:lvlText w:val=""/>
      <w:lvlJc w:val="left"/>
      <w:pPr>
        <w:tabs>
          <w:tab w:val="left" w:pos="3785"/>
        </w:tabs>
        <w:ind w:left="3785" w:hanging="360"/>
      </w:pPr>
      <w:rPr>
        <w:rFonts w:hint="default" w:ascii="Wingdings" w:hAnsi="Wingdings"/>
      </w:rPr>
    </w:lvl>
    <w:lvl w:ilvl="3" w:tentative="0">
      <w:start w:val="1"/>
      <w:numFmt w:val="bullet"/>
      <w:lvlText w:val=""/>
      <w:lvlJc w:val="left"/>
      <w:pPr>
        <w:tabs>
          <w:tab w:val="left" w:pos="4505"/>
        </w:tabs>
        <w:ind w:left="4505" w:hanging="360"/>
      </w:pPr>
      <w:rPr>
        <w:rFonts w:hint="default" w:ascii="Symbol" w:hAnsi="Symbol"/>
      </w:rPr>
    </w:lvl>
    <w:lvl w:ilvl="4" w:tentative="0">
      <w:start w:val="1"/>
      <w:numFmt w:val="bullet"/>
      <w:lvlText w:val="o"/>
      <w:lvlJc w:val="left"/>
      <w:pPr>
        <w:tabs>
          <w:tab w:val="left" w:pos="5225"/>
        </w:tabs>
        <w:ind w:left="5225" w:hanging="360"/>
      </w:pPr>
      <w:rPr>
        <w:rFonts w:hint="default" w:ascii="Courier New" w:hAnsi="Courier New" w:cs="Courier New"/>
      </w:rPr>
    </w:lvl>
    <w:lvl w:ilvl="5" w:tentative="0">
      <w:start w:val="1"/>
      <w:numFmt w:val="bullet"/>
      <w:lvlText w:val=""/>
      <w:lvlJc w:val="left"/>
      <w:pPr>
        <w:tabs>
          <w:tab w:val="left" w:pos="5945"/>
        </w:tabs>
        <w:ind w:left="5945" w:hanging="360"/>
      </w:pPr>
      <w:rPr>
        <w:rFonts w:hint="default" w:ascii="Wingdings" w:hAnsi="Wingdings"/>
      </w:rPr>
    </w:lvl>
    <w:lvl w:ilvl="6" w:tentative="0">
      <w:start w:val="1"/>
      <w:numFmt w:val="bullet"/>
      <w:lvlText w:val=""/>
      <w:lvlJc w:val="left"/>
      <w:pPr>
        <w:tabs>
          <w:tab w:val="left" w:pos="6665"/>
        </w:tabs>
        <w:ind w:left="6665" w:hanging="360"/>
      </w:pPr>
      <w:rPr>
        <w:rFonts w:hint="default" w:ascii="Symbol" w:hAnsi="Symbol"/>
      </w:rPr>
    </w:lvl>
    <w:lvl w:ilvl="7" w:tentative="0">
      <w:start w:val="1"/>
      <w:numFmt w:val="bullet"/>
      <w:lvlText w:val="o"/>
      <w:lvlJc w:val="left"/>
      <w:pPr>
        <w:tabs>
          <w:tab w:val="left" w:pos="7385"/>
        </w:tabs>
        <w:ind w:left="7385" w:hanging="360"/>
      </w:pPr>
      <w:rPr>
        <w:rFonts w:hint="default" w:ascii="Courier New" w:hAnsi="Courier New" w:cs="Courier New"/>
      </w:rPr>
    </w:lvl>
    <w:lvl w:ilvl="8" w:tentative="0">
      <w:start w:val="1"/>
      <w:numFmt w:val="bullet"/>
      <w:lvlText w:val=""/>
      <w:lvlJc w:val="left"/>
      <w:pPr>
        <w:tabs>
          <w:tab w:val="left" w:pos="8105"/>
        </w:tabs>
        <w:ind w:left="8105" w:hanging="360"/>
      </w:pPr>
      <w:rPr>
        <w:rFonts w:hint="default" w:ascii="Wingdings" w:hAnsi="Wingdings"/>
      </w:rPr>
    </w:lvl>
  </w:abstractNum>
  <w:abstractNum w:abstractNumId="2">
    <w:nsid w:val="7E7A6507"/>
    <w:multiLevelType w:val="multilevel"/>
    <w:tmpl w:val="7E7A6507"/>
    <w:lvl w:ilvl="0" w:tentative="0">
      <w:start w:val="1"/>
      <w:numFmt w:val="bullet"/>
      <w:lvlText w:val=""/>
      <w:lvlJc w:val="left"/>
      <w:pPr>
        <w:tabs>
          <w:tab w:val="left" w:pos="720"/>
        </w:tabs>
        <w:ind w:left="720" w:hanging="360"/>
      </w:pPr>
      <w:rPr>
        <w:rFonts w:hint="default" w:ascii="Wingdings" w:hAnsi="Wingdings" w:cs="Wingdings"/>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cs="Wingdings"/>
      </w:rPr>
    </w:lvl>
    <w:lvl w:ilvl="3" w:tentative="0">
      <w:start w:val="1"/>
      <w:numFmt w:val="bullet"/>
      <w:lvlText w:val=""/>
      <w:lvlJc w:val="left"/>
      <w:pPr>
        <w:tabs>
          <w:tab w:val="left" w:pos="2880"/>
        </w:tabs>
        <w:ind w:left="2880" w:hanging="360"/>
      </w:pPr>
      <w:rPr>
        <w:rFonts w:hint="default" w:ascii="Symbol" w:hAnsi="Symbol" w:cs="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cs="Wingdings"/>
      </w:rPr>
    </w:lvl>
    <w:lvl w:ilvl="6" w:tentative="0">
      <w:start w:val="1"/>
      <w:numFmt w:val="bullet"/>
      <w:lvlText w:val=""/>
      <w:lvlJc w:val="left"/>
      <w:pPr>
        <w:tabs>
          <w:tab w:val="left" w:pos="5040"/>
        </w:tabs>
        <w:ind w:left="5040" w:hanging="360"/>
      </w:pPr>
      <w:rPr>
        <w:rFonts w:hint="default" w:ascii="Symbol" w:hAnsi="Symbol" w:cs="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cs="Wingdings"/>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08"/>
  <w:autoHyphenation/>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2BF79456"/>
    <w:rsid w:val="2E7F5BD8"/>
    <w:rsid w:val="3BF83375"/>
    <w:rsid w:val="3EF66AFF"/>
    <w:rsid w:val="3FF5061B"/>
    <w:rsid w:val="43F73C7C"/>
    <w:rsid w:val="4AB96640"/>
    <w:rsid w:val="53EFE905"/>
    <w:rsid w:val="56FF3C94"/>
    <w:rsid w:val="5F5F49E8"/>
    <w:rsid w:val="5FB91502"/>
    <w:rsid w:val="732B5A55"/>
    <w:rsid w:val="73D54DA6"/>
    <w:rsid w:val="76BE267C"/>
    <w:rsid w:val="77DB059E"/>
    <w:rsid w:val="7B63E5D8"/>
    <w:rsid w:val="7BF327DA"/>
    <w:rsid w:val="7D7D0C2F"/>
    <w:rsid w:val="7F7B8319"/>
    <w:rsid w:val="7FBED1B7"/>
    <w:rsid w:val="7FBF9218"/>
    <w:rsid w:val="7FFFEE62"/>
    <w:rsid w:val="95113717"/>
    <w:rsid w:val="9FC7D8EB"/>
    <w:rsid w:val="AFDEAB25"/>
    <w:rsid w:val="BDDBA2B1"/>
    <w:rsid w:val="D6BFB695"/>
    <w:rsid w:val="DEE64D07"/>
    <w:rsid w:val="DEF3B877"/>
    <w:rsid w:val="DFBF2DFA"/>
    <w:rsid w:val="E7BD64B2"/>
    <w:rsid w:val="ECFFF13D"/>
    <w:rsid w:val="EFF7D077"/>
    <w:rsid w:val="EFFB2F40"/>
    <w:rsid w:val="F3F5B44E"/>
    <w:rsid w:val="F5EE7DED"/>
    <w:rsid w:val="F7BF7467"/>
    <w:rsid w:val="F7DF2FEF"/>
    <w:rsid w:val="F7FF7A60"/>
    <w:rsid w:val="FBF0A674"/>
    <w:rsid w:val="FD77AF8B"/>
    <w:rsid w:val="FF5FF9E7"/>
    <w:rsid w:val="FFAF29A7"/>
  </w:rsids>
  <m:mathPr>
    <m:brkBin m:val="before"/>
    <m:brkBinSub m:val="--"/>
    <m:smallFrac m:val="0"/>
    <m:dispDef/>
    <m:lMargin m:val="0"/>
    <m:rMargin m:val="0"/>
    <m:defJc m:val="centerGroup"/>
    <m:wrapIndent m:val="1440"/>
    <m:intLim m:val="subSup"/>
    <m:naryLim m:val="undOvr"/>
  </m:mathPr>
  <w:themeFontLang w:val="en-US" w:eastAsia="zh-CN" w:bidi="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spacing w:before="0" w:after="200" w:line="276" w:lineRule="auto"/>
      <w:jc w:val="left"/>
    </w:pPr>
    <w:rPr>
      <w:rFonts w:ascii="Calibri" w:hAnsi="Calibri" w:eastAsia="Calibri" w:cs="Times New Roman"/>
      <w:color w:val="auto"/>
      <w:kern w:val="0"/>
      <w:sz w:val="22"/>
      <w:szCs w:val="22"/>
      <w:lang w:val="fr-FR" w:eastAsia="en-US"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alloon Text"/>
    <w:basedOn w:val="1"/>
    <w:semiHidden/>
    <w:qFormat/>
    <w:uiPriority w:val="0"/>
    <w:rPr>
      <w:rFonts w:ascii="Tahoma" w:hAnsi="Tahoma" w:cs="Tahoma"/>
      <w:sz w:val="16"/>
      <w:szCs w:val="16"/>
    </w:rPr>
  </w:style>
  <w:style w:type="paragraph" w:styleId="5">
    <w:name w:val="Body Text"/>
    <w:basedOn w:val="1"/>
    <w:qFormat/>
    <w:uiPriority w:val="0"/>
    <w:pPr>
      <w:spacing w:before="0" w:after="140" w:line="276" w:lineRule="auto"/>
    </w:pPr>
  </w:style>
  <w:style w:type="paragraph" w:styleId="6">
    <w:name w:val="caption"/>
    <w:basedOn w:val="1"/>
    <w:next w:val="1"/>
    <w:qFormat/>
    <w:uiPriority w:val="0"/>
    <w:pPr>
      <w:suppressLineNumbers/>
      <w:spacing w:before="120" w:after="120"/>
    </w:pPr>
    <w:rPr>
      <w:rFonts w:cs="Noto Sans Devanagari"/>
      <w:i/>
      <w:iCs/>
      <w:sz w:val="24"/>
      <w:szCs w:val="24"/>
    </w:rPr>
  </w:style>
  <w:style w:type="paragraph" w:styleId="7">
    <w:name w:val="footer"/>
    <w:basedOn w:val="1"/>
    <w:qFormat/>
    <w:uiPriority w:val="0"/>
    <w:pPr>
      <w:tabs>
        <w:tab w:val="center" w:pos="4536"/>
        <w:tab w:val="right" w:pos="9072"/>
      </w:tabs>
    </w:pPr>
  </w:style>
  <w:style w:type="paragraph" w:styleId="8">
    <w:name w:val="header"/>
    <w:basedOn w:val="1"/>
    <w:qFormat/>
    <w:uiPriority w:val="0"/>
    <w:pPr>
      <w:tabs>
        <w:tab w:val="center" w:pos="4536"/>
        <w:tab w:val="right" w:pos="9072"/>
      </w:tabs>
    </w:pPr>
  </w:style>
  <w:style w:type="paragraph" w:styleId="9">
    <w:name w:val="List"/>
    <w:basedOn w:val="5"/>
    <w:qFormat/>
    <w:uiPriority w:val="0"/>
    <w:rPr>
      <w:rFonts w:cs="Noto Sans Devanagari"/>
    </w:rPr>
  </w:style>
  <w:style w:type="character" w:styleId="10">
    <w:name w:val="page number"/>
    <w:basedOn w:val="2"/>
    <w:qFormat/>
    <w:uiPriority w:val="0"/>
  </w:style>
  <w:style w:type="table" w:styleId="11">
    <w:name w:val="Table Grid"/>
    <w:basedOn w:val="3"/>
    <w:qFormat/>
    <w:uiPriority w:val="0"/>
    <w:pPr>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2">
    <w:name w:val="Bullets"/>
    <w:qFormat/>
    <w:uiPriority w:val="0"/>
    <w:rPr>
      <w:rFonts w:ascii="OpenSymbol" w:hAnsi="OpenSymbol" w:eastAsia="OpenSymbol" w:cs="OpenSymbol"/>
    </w:rPr>
  </w:style>
  <w:style w:type="character" w:customStyle="1" w:styleId="13">
    <w:name w:val="Caractères de numérotation"/>
    <w:qFormat/>
    <w:uiPriority w:val="0"/>
  </w:style>
  <w:style w:type="character" w:customStyle="1" w:styleId="14">
    <w:name w:val="Puces"/>
    <w:qFormat/>
    <w:uiPriority w:val="0"/>
    <w:rPr>
      <w:rFonts w:ascii="OpenSymbol" w:hAnsi="OpenSymbol" w:eastAsia="OpenSymbol" w:cs="OpenSymbol"/>
    </w:rPr>
  </w:style>
  <w:style w:type="paragraph" w:customStyle="1" w:styleId="15">
    <w:name w:val="Titre"/>
    <w:basedOn w:val="1"/>
    <w:next w:val="5"/>
    <w:qFormat/>
    <w:uiPriority w:val="0"/>
    <w:pPr>
      <w:keepNext/>
      <w:spacing w:before="240" w:after="120"/>
    </w:pPr>
    <w:rPr>
      <w:rFonts w:ascii="Liberation Sans" w:hAnsi="Liberation Sans" w:eastAsia="Noto Sans CJK SC" w:cs="Noto Sans Devanagari"/>
      <w:sz w:val="28"/>
      <w:szCs w:val="28"/>
    </w:rPr>
  </w:style>
  <w:style w:type="paragraph" w:customStyle="1" w:styleId="16">
    <w:name w:val="Index"/>
    <w:basedOn w:val="1"/>
    <w:qFormat/>
    <w:uiPriority w:val="0"/>
    <w:pPr>
      <w:suppressLineNumbers/>
    </w:pPr>
    <w:rPr>
      <w:rFonts w:cs="Noto Sans Devanagari"/>
    </w:rPr>
  </w:style>
  <w:style w:type="paragraph" w:customStyle="1" w:styleId="17">
    <w:name w:val="caption1"/>
    <w:basedOn w:val="1"/>
    <w:next w:val="1"/>
    <w:qFormat/>
    <w:uiPriority w:val="0"/>
    <w:pPr>
      <w:suppressLineNumbers/>
      <w:spacing w:before="120" w:after="120"/>
    </w:pPr>
    <w:rPr>
      <w:rFonts w:cs="Noto Sans Devanagari"/>
      <w:i/>
      <w:iCs/>
      <w:sz w:val="24"/>
      <w:szCs w:val="24"/>
    </w:rPr>
  </w:style>
  <w:style w:type="paragraph" w:customStyle="1" w:styleId="18">
    <w:name w:val="En-tête et pied de page"/>
    <w:basedOn w:val="1"/>
    <w:qFormat/>
    <w:uiPriority w:val="0"/>
  </w:style>
  <w:style w:type="paragraph" w:customStyle="1" w:styleId="19">
    <w:name w:val="caption11"/>
    <w:basedOn w:val="1"/>
    <w:next w:val="1"/>
    <w:qFormat/>
    <w:uiPriority w:val="0"/>
    <w:pPr>
      <w:suppressLineNumbers/>
      <w:spacing w:before="120" w:after="120"/>
    </w:pPr>
    <w:rPr>
      <w:rFonts w:cs="Noto Sans Devanagari"/>
      <w:i/>
      <w:iCs/>
      <w:sz w:val="24"/>
      <w:szCs w:val="24"/>
    </w:rPr>
  </w:style>
  <w:style w:type="paragraph" w:customStyle="1" w:styleId="20">
    <w:name w:val="msolistparagraph"/>
    <w:basedOn w:val="1"/>
    <w:qFormat/>
    <w:uiPriority w:val="0"/>
    <w:pPr>
      <w:spacing w:before="0" w:after="200"/>
      <w:ind w:left="720"/>
      <w:contextualSpacing/>
    </w:pPr>
  </w:style>
  <w:style w:type="paragraph" w:customStyle="1" w:styleId="21">
    <w:name w:val="Body"/>
    <w:basedOn w:val="1"/>
    <w:qFormat/>
    <w:uiPriority w:val="99"/>
    <w:pPr>
      <w:spacing w:before="0" w:after="120" w:line="240" w:lineRule="auto"/>
      <w:ind w:left="283"/>
    </w:pPr>
    <w:rPr>
      <w:rFonts w:ascii="Times New Roman" w:hAnsi="Times New Roman" w:eastAsia="Times New Roman"/>
      <w:sz w:val="16"/>
      <w:szCs w:val="16"/>
      <w:lang w:eastAsia="fr-FR"/>
    </w:rPr>
  </w:style>
  <w:style w:type="paragraph" w:styleId="22">
    <w:name w:val="List Paragraph"/>
    <w:basedOn w:val="1"/>
    <w:qFormat/>
    <w:uiPriority w:val="34"/>
    <w:pPr>
      <w:spacing w:before="0" w:after="200"/>
      <w:ind w:left="720"/>
      <w:contextualSpacing/>
    </w:pPr>
    <w:rPr>
      <w:rFonts w:ascii="Calibri" w:hAnsi="Calibri" w:eastAsia="Calibri" w:cs="Times New Roman"/>
    </w:rPr>
  </w:style>
  <w:style w:type="paragraph" w:customStyle="1" w:styleId="23">
    <w:name w:val="Frame Contents"/>
    <w:basedOn w:val="1"/>
    <w:qFormat/>
    <w:uiPriority w:val="0"/>
  </w:style>
  <w:style w:type="paragraph" w:customStyle="1" w:styleId="24">
    <w:name w:val="Contenu de tableau"/>
    <w:basedOn w:val="1"/>
    <w:qFormat/>
    <w:uiPriority w:val="0"/>
    <w:pPr>
      <w:widowControl w:val="0"/>
      <w:suppressLineNumbers/>
    </w:pPr>
  </w:style>
  <w:style w:type="paragraph" w:customStyle="1" w:styleId="25">
    <w:name w:val="Titre de tableau"/>
    <w:basedOn w:val="24"/>
    <w:qFormat/>
    <w:uiPriority w:val="0"/>
    <w:pPr>
      <w:suppressLineNumbers/>
      <w:jc w:val="center"/>
    </w:pPr>
    <w:rPr>
      <w:b/>
      <w:bCs/>
    </w:rPr>
  </w:style>
  <w:style w:type="paragraph" w:customStyle="1" w:styleId="26">
    <w:name w:val="Texte préformaté"/>
    <w:basedOn w:val="1"/>
    <w:qFormat/>
    <w:uiPriority w:val="0"/>
    <w:pPr>
      <w:spacing w:before="0" w:after="0"/>
    </w:pPr>
    <w:rPr>
      <w:rFonts w:ascii="Liberation Mono" w:hAnsi="Liberation Mono" w:eastAsia="Noto Sans Mono CJK SC" w:cs="Liberation Mono"/>
      <w:sz w:val="20"/>
      <w:szCs w:val="20"/>
    </w:rPr>
  </w:style>
  <w:style w:type="paragraph" w:customStyle="1" w:styleId="27">
    <w:name w:val="Contenu de cadre"/>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uba</Company>
  <Pages>6</Pages>
  <Words>1964</Words>
  <Characters>11617</Characters>
  <Paragraphs>105</Paragraphs>
  <TotalTime>57</TotalTime>
  <ScaleCrop>false</ScaleCrop>
  <LinksUpToDate>false</LinksUpToDate>
  <CharactersWithSpaces>13842</CharactersWithSpaces>
  <Application>WPS Office_11.1.0.11723_F1E327BC-269C-435d-A152-05C5408002CA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2024-01-15T11:45:00Z</dcterms:created>
  <dc:creator>abdoulaye.diop</dc:creator>
  <cp:lastModifiedBy>charles-gamligo</cp:lastModifiedBy>
  <cp:lastPrinted>2022-09-23T18:36:00Z</cp:lastPrinted>
  <dcterms:modified xsi:type="dcterms:W3CDTF">2025-02-11T13:18:26Z</dcterms:modified>
  <dc:title>CONTRAT DE PRET</dc:title>
  <cp:revision>55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_NewReviewCycle">
    <vt:lpwstr/>
  </property>
</Properties>
</file>