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b/>
          <w:sz w:val="28"/>
          <w:szCs w:val="28"/>
          <w:bdr w:val="dashDotStroked" w:color="auto" w:sz="24" w:space="0"/>
        </w:rPr>
      </w:pPr>
      <w:r>
        <w:rPr>
          <w:rFonts w:ascii="Times New Roman" w:hAnsi="Times New Roman"/>
          <w:b/>
          <w:sz w:val="28"/>
          <w:szCs w:val="28"/>
          <w:bdr w:val="dashDotStroked" w:color="auto" w:sz="24" w:space="0"/>
        </w:rPr>
        <w:t>CONTRAT DE PRET</w:t>
      </w:r>
    </w:p>
    <w:p>
      <w:pPr>
        <w:spacing w:line="240" w:lineRule="auto"/>
        <w:jc w:val="both"/>
        <w:rPr>
          <w:rFonts w:hint="default" w:ascii="Times New Roman" w:hAnsi="Times New Roman" w:cs="Times New Roman"/>
          <w:b/>
          <w:bCs/>
          <w:highlight w:val="none"/>
          <w:u w:val="single"/>
        </w:rPr>
      </w:pP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u w:val="single"/>
        </w:rPr>
        <w:t xml:space="preserve">ENTRE-LES SOUSSIGNES : </w:t>
      </w:r>
    </w:p>
    <w:p>
      <w:pPr>
        <w:jc w:val="both"/>
        <w:rPr>
          <w:rFonts w:hint="default" w:ascii="Times New Roman" w:hAnsi="Times New Roman" w:cs="Times New Roman"/>
          <w:color w:val="000000"/>
          <w:sz w:val="24"/>
          <w:szCs w:val="24"/>
          <w:highlight w:val="none"/>
        </w:rPr>
      </w:pPr>
      <w:r>
        <w:rPr>
          <w:rFonts w:hint="default" w:ascii="Times New Roman" w:hAnsi="Times New Roman" w:cs="Times New Roman"/>
          <w:b/>
          <w:color w:val="000000"/>
          <w:sz w:val="24"/>
          <w:szCs w:val="24"/>
          <w:highlight w:val="none"/>
        </w:rPr>
        <w:t>COMPAGNIE FINANCIERE AFRICAINE (COFINA) Togo SA</w:t>
      </w:r>
      <w:r>
        <w:rPr>
          <w:rFonts w:hint="default" w:ascii="Times New Roman" w:hAnsi="Times New Roman" w:cs="Times New Roman"/>
          <w:color w:val="000000"/>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color w:val="000000"/>
          <w:sz w:val="24"/>
          <w:szCs w:val="24"/>
          <w:highlight w:val="none"/>
        </w:rPr>
        <w:t>, dont le siège social est situé à LOME (TOGO</w:t>
      </w:r>
      <w:bookmarkStart w:id="0" w:name="_Hlk66259236"/>
      <w:r>
        <w:rPr>
          <w:rFonts w:hint="default" w:ascii="Times New Roman" w:hAnsi="Times New Roman" w:cs="Times New Roman"/>
          <w:color w:val="000000"/>
          <w:sz w:val="24"/>
          <w:szCs w:val="24"/>
          <w:highlight w:val="none"/>
        </w:rPr>
        <w:t>), Boulevard du 13 Janvier, Quartier Kodjoviakope, 07 BP : 7499 Lomé-TOGO</w:t>
      </w:r>
      <w:bookmarkEnd w:id="0"/>
      <w:r>
        <w:rPr>
          <w:rFonts w:hint="default" w:ascii="Times New Roman" w:hAnsi="Times New Roman" w:cs="Times New Roman"/>
          <w:color w:val="000000"/>
          <w:sz w:val="24"/>
          <w:szCs w:val="24"/>
          <w:highlight w:val="none"/>
        </w:rPr>
        <w:t xml:space="preserve">, Tel : 00 228 22 23 68 68/ 00 228 22 23 68 60, </w:t>
      </w:r>
    </w:p>
    <w:p>
      <w:pPr>
        <w:jc w:val="both"/>
        <w:rPr>
          <w:rFonts w:hint="default" w:ascii="Times New Roman" w:hAnsi="Times New Roman" w:cs="Times New Roman"/>
          <w:sz w:val="24"/>
          <w:szCs w:val="24"/>
          <w:highlight w:val="none"/>
        </w:rPr>
      </w:pPr>
      <w:r>
        <w:rPr>
          <w:rFonts w:hint="default" w:ascii="Times New Roman" w:hAnsi="Times New Roman" w:cs="Times New Roman"/>
          <w:bCs/>
          <w:iCs/>
          <w:color w:val="000000"/>
          <w:sz w:val="24"/>
          <w:szCs w:val="24"/>
          <w:highlight w:val="none"/>
        </w:rPr>
        <w:t xml:space="preserve">Représentée par </w:t>
      </w:r>
      <w:r>
        <w:rPr>
          <w:rFonts w:hint="default" w:ascii="Times New Roman" w:hAnsi="Times New Roman" w:cs="Times New Roman"/>
          <w:b/>
          <w:iCs/>
          <w:color w:val="000000"/>
          <w:sz w:val="24"/>
          <w:szCs w:val="24"/>
          <w:highlight w:val="none"/>
        </w:rPr>
        <w:t xml:space="preserve">Monsieur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color w:val="000000"/>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color w:val="000000"/>
          <w:sz w:val="24"/>
          <w:szCs w:val="24"/>
          <w:highlight w:val="none"/>
        </w:rPr>
        <w:t xml:space="preserve">, vertu d’un acte reçu par </w:t>
      </w:r>
      <w:r>
        <w:rPr>
          <w:rFonts w:hint="default" w:ascii="Times New Roman" w:hAnsi="Times New Roman" w:cs="Times New Roman"/>
          <w:bCs/>
          <w:iCs/>
          <w:color w:val="111111"/>
          <w:sz w:val="24"/>
          <w:szCs w:val="24"/>
          <w:highlight w:val="none"/>
        </w:rPr>
        <w:t>Me Afiavi S. do REGO-d’Almeida, Notaire à Lomé,</w:t>
      </w:r>
    </w:p>
    <w:p>
      <w:pPr>
        <w:ind w:right="-141"/>
        <w:jc w:val="right"/>
        <w:rPr>
          <w:rFonts w:hint="default" w:ascii="Times New Roman" w:hAnsi="Times New Roman" w:cs="Times New Roman"/>
          <w:i/>
          <w:iCs/>
          <w:sz w:val="24"/>
          <w:szCs w:val="24"/>
          <w:highlight w:val="none"/>
        </w:rPr>
      </w:pPr>
      <w:r>
        <w:rPr>
          <w:rFonts w:hint="default" w:ascii="Times New Roman" w:hAnsi="Times New Roman" w:cs="Times New Roman"/>
          <w:sz w:val="24"/>
          <w:szCs w:val="24"/>
          <w:highlight w:val="none"/>
        </w:rPr>
        <w:t xml:space="preserve">Ci-après dénommée « </w:t>
      </w:r>
      <w:r>
        <w:rPr>
          <w:rFonts w:hint="default" w:ascii="Times New Roman" w:hAnsi="Times New Roman" w:cs="Times New Roman"/>
          <w:b/>
          <w:bCs/>
          <w:sz w:val="24"/>
          <w:szCs w:val="24"/>
          <w:highlight w:val="none"/>
        </w:rPr>
        <w:t xml:space="preserve">COFINA TOGO SA », </w:t>
      </w:r>
      <w:r>
        <w:rPr>
          <w:rFonts w:hint="default" w:ascii="Times New Roman" w:hAnsi="Times New Roman" w:cs="Times New Roman"/>
          <w:b/>
          <w:bCs/>
          <w:i/>
          <w:iCs/>
          <w:sz w:val="24"/>
          <w:szCs w:val="24"/>
          <w:highlight w:val="none"/>
        </w:rPr>
        <w:t>d’une part</w:t>
      </w:r>
      <w:r>
        <w:rPr>
          <w:rFonts w:hint="default" w:ascii="Times New Roman" w:hAnsi="Times New Roman" w:cs="Times New Roman"/>
          <w:i/>
          <w:iCs/>
          <w:sz w:val="24"/>
          <w:szCs w:val="24"/>
          <w:highlight w:val="none"/>
        </w:rPr>
        <w: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Et</w:t>
      </w:r>
      <w:bookmarkStart w:id="1" w:name="_Hlk68256928"/>
      <w:bookmarkEnd w:id="1"/>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b w:val="0"/>
          <w:bCs w:val="0"/>
          <w:sz w:val="24"/>
          <w:szCs w:val="24"/>
          <w:highlight w:val="none"/>
        </w:rPr>
        <w:t xml:space="preserve">${company.denomination} </w:t>
      </w:r>
      <w:r>
        <w:rPr>
          <w:rFonts w:hint="default" w:ascii="Times New Roman" w:hAnsi="Times New Roman" w:cs="Times New Roman"/>
          <w:b w:val="0"/>
          <w:bCs w:val="0"/>
          <w:sz w:val="24"/>
          <w:szCs w:val="24"/>
          <w:highlight w:val="none"/>
          <w:lang w:val="en-US"/>
        </w:rPr>
        <w:t>${company.legal_status}</w:t>
      </w:r>
      <w:r>
        <w:rPr>
          <w:rFonts w:hint="default" w:ascii="Times New Roman" w:hAnsi="Times New Roman" w:cs="Times New Roman"/>
          <w:b w:val="0"/>
          <w:bCs w:val="0"/>
          <w:sz w:val="24"/>
          <w:szCs w:val="24"/>
          <w:highlight w:val="none"/>
        </w:rPr>
        <w:t xml:space="preserve"> dont le siège social est à </w:t>
      </w:r>
      <w:r>
        <w:rPr>
          <w:rFonts w:hint="default" w:ascii="Times New Roman" w:hAnsi="Times New Roman" w:cs="Times New Roman"/>
          <w:b w:val="0"/>
          <w:bCs w:val="0"/>
          <w:sz w:val="24"/>
          <w:szCs w:val="24"/>
          <w:highlight w:val="none"/>
          <w:lang w:val="en-US"/>
        </w:rPr>
        <w:t>${company.head_office_address}</w:t>
      </w:r>
      <w:r>
        <w:rPr>
          <w:rFonts w:hint="default" w:ascii="Times New Roman" w:hAnsi="Times New Roman" w:cs="Times New Roman"/>
          <w:b w:val="0"/>
          <w:bCs w:val="0"/>
          <w:sz w:val="24"/>
          <w:szCs w:val="24"/>
          <w:highlight w:val="none"/>
        </w:rPr>
        <w:t xml:space="preserve">, immatriculée sous le registre du Commerce et du Crédit Mobilier de Lomé, sous le numéro </w:t>
      </w:r>
      <w:r>
        <w:rPr>
          <w:rFonts w:hint="default" w:ascii="Times New Roman" w:hAnsi="Times New Roman" w:cs="Times New Roman"/>
          <w:b w:val="0"/>
          <w:bCs w:val="0"/>
          <w:sz w:val="24"/>
          <w:szCs w:val="24"/>
          <w:highlight w:val="none"/>
          <w:lang w:val="en-US"/>
        </w:rPr>
        <w:t>${company.rccm_number}</w:t>
      </w:r>
      <w:r>
        <w:rPr>
          <w:rFonts w:hint="default" w:ascii="Times New Roman" w:hAnsi="Times New Roman" w:cs="Times New Roman"/>
          <w:b w:val="0"/>
          <w:bCs w:val="0"/>
          <w:sz w:val="24"/>
          <w:szCs w:val="24"/>
          <w:highlight w:val="none"/>
        </w:rPr>
        <w:t xml:space="preserve"> représenté par son responsable </w:t>
      </w:r>
      <w:r>
        <w:rPr>
          <w:rFonts w:hint="default" w:ascii="Times New Roman" w:hAnsi="Times New Roman" w:cs="Times New Roman"/>
          <w:b w:val="0"/>
          <w:bCs w:val="0"/>
          <w:sz w:val="24"/>
          <w:szCs w:val="24"/>
          <w:highlight w:val="none"/>
          <w:shd w:val="clear" w:fill="auto"/>
        </w:rPr>
        <w:t>${verbal_trial.</w:t>
      </w:r>
      <w:r>
        <w:rPr>
          <w:rFonts w:hint="default" w:ascii="Times New Roman" w:hAnsi="Times New Roman" w:cs="Times New Roman"/>
          <w:b w:val="0"/>
          <w:bCs w:val="0"/>
          <w:sz w:val="24"/>
          <w:szCs w:val="24"/>
          <w:highlight w:val="none"/>
          <w:shd w:val="clear" w:fill="auto"/>
          <w:lang w:val="en-US"/>
        </w:rPr>
        <w:t>civility</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val="0"/>
          <w:bCs w:val="0"/>
          <w:sz w:val="24"/>
          <w:szCs w:val="24"/>
          <w:highlight w:val="none"/>
          <w:shd w:val="clear" w:fill="auto"/>
          <w:lang w:val="en-US"/>
        </w:rPr>
        <w:t xml:space="preserve"> </w:t>
      </w:r>
      <w:r>
        <w:rPr>
          <w:rFonts w:hint="default" w:ascii="Times New Roman" w:hAnsi="Times New Roman" w:cs="Times New Roman"/>
          <w:b w:val="0"/>
          <w:bCs w:val="0"/>
          <w:sz w:val="24"/>
          <w:szCs w:val="24"/>
          <w:highlight w:val="none"/>
          <w:shd w:val="clear" w:fill="auto"/>
        </w:rPr>
        <w:t>${verbal_trial.applicant_last_name} ${verbal_trial.applicant_first_name} née le ${representative_birth_date</w:t>
      </w:r>
      <w:r>
        <w:rPr>
          <w:rFonts w:hint="default" w:ascii="Times New Roman" w:hAnsi="Times New Roman"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 de nationalité ${representative_nationality} domicilié à ${representative_home_address} et titulaire d’un(e) ${representative_type_of_identity_document} ${representative_number_of_identity_document}</w:t>
      </w:r>
      <w:r>
        <w:rPr>
          <w:rFonts w:hint="default" w:ascii="Times New Roman" w:hAnsi="Times New Roman" w:cs="Times New Roman"/>
          <w:b w:val="0"/>
          <w:bCs w:val="0"/>
          <w:sz w:val="24"/>
          <w:szCs w:val="24"/>
          <w:highlight w:val="none"/>
          <w:shd w:val="clear" w:fill="auto"/>
          <w:lang w:val="fr-FR"/>
        </w:rPr>
        <w:t xml:space="preserve"> </w:t>
      </w:r>
      <w:r>
        <w:rPr>
          <w:rFonts w:hint="default" w:ascii="Times New Roman" w:hAnsi="Times New Roman" w:cs="Times New Roman"/>
          <w:b w:val="0"/>
          <w:bCs w:val="0"/>
          <w:sz w:val="24"/>
          <w:szCs w:val="24"/>
          <w:highlight w:val="none"/>
          <w:shd w:val="clear" w:fill="auto"/>
        </w:rPr>
        <w:t>${representative_date_of_issue_of_identity_document</w:t>
      </w:r>
      <w:r>
        <w:rPr>
          <w:rFonts w:hint="default" w:ascii="Times New Roman" w:hAnsi="Times New Roman"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bCs/>
          <w:sz w:val="24"/>
          <w:szCs w:val="24"/>
          <w:highlight w:val="none"/>
          <w:shd w:val="clear" w:fill="auto"/>
        </w:rPr>
        <w:t xml:space="preserve"> </w:t>
      </w:r>
      <w:r>
        <w:rPr>
          <w:rFonts w:hint="default" w:ascii="Times New Roman" w:hAnsi="Times New Roman" w:cs="Times New Roman"/>
          <w:b w:val="0"/>
          <w:bCs w:val="0"/>
          <w:sz w:val="24"/>
          <w:szCs w:val="24"/>
          <w:highlight w:val="none"/>
          <w:shd w:val="clear" w:fill="auto"/>
        </w:rPr>
        <w:t>Tél : $</w:t>
      </w:r>
      <w:r>
        <w:rPr>
          <w:rFonts w:hint="default" w:ascii="Times New Roman" w:hAnsi="Times New Roman" w:cs="Times New Roman"/>
          <w:b w:val="0"/>
          <w:bCs w:val="0"/>
          <w:sz w:val="24"/>
          <w:szCs w:val="24"/>
          <w:highlight w:val="none"/>
          <w:shd w:val="clear" w:fill="auto"/>
          <w:lang w:val="en-US"/>
        </w:rPr>
        <w:t>{representative_</w:t>
      </w:r>
      <w:r>
        <w:rPr>
          <w:rFonts w:hint="default" w:ascii="Times New Roman" w:hAnsi="Times New Roman" w:cs="Times New Roman"/>
          <w:b w:val="0"/>
          <w:bCs w:val="0"/>
          <w:sz w:val="24"/>
          <w:szCs w:val="24"/>
          <w:highlight w:val="none"/>
          <w:shd w:val="clear" w:fill="auto"/>
        </w:rPr>
        <w:t>phone_number}</w:t>
      </w:r>
      <w:r>
        <w:rPr>
          <w:rFonts w:hint="default" w:ascii="Times New Roman" w:hAnsi="Times New Roman" w:cs="Times New Roman"/>
          <w:b w:val="0"/>
          <w:bCs w:val="0"/>
          <w:sz w:val="24"/>
          <w:szCs w:val="24"/>
          <w:highlight w:val="none"/>
        </w:rPr>
        <w:t>, ayant pleins pouvoirs à l’effet des présentes,</w:t>
      </w:r>
      <w:r>
        <w:rPr>
          <w:rFonts w:hint="default" w:ascii="Times New Roman" w:hAnsi="Times New Roman" w:cs="Times New Roman"/>
          <w:b/>
          <w:bCs/>
          <w:sz w:val="24"/>
          <w:szCs w:val="24"/>
          <w:highlight w:val="none"/>
        </w:rPr>
        <w:t xml:space="preserve"> Tél : </w:t>
      </w:r>
      <w:r>
        <w:rPr>
          <w:rFonts w:hint="default" w:ascii="Times New Roman" w:hAnsi="Times New Roman" w:cs="Times New Roman"/>
          <w:b/>
          <w:bCs/>
          <w:sz w:val="24"/>
          <w:szCs w:val="24"/>
          <w:highlight w:val="none"/>
          <w:lang w:val="en-US"/>
        </w:rPr>
        <w:t>${company.phone_number}</w:t>
      </w:r>
    </w:p>
    <w:p>
      <w:pPr>
        <w:spacing w:line="240" w:lineRule="auto"/>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désigné(e) « l’Emprunteur »</w:t>
      </w:r>
    </w:p>
    <w:p>
      <w:pPr>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u w:val="single"/>
        </w:rPr>
        <w:br w:type="page"/>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u w:val="single"/>
        </w:rPr>
        <w:t>IL A ETE CONVENU ET ARRETE CE QUI SUIT</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Compte courant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et l’emprunteur sont convenus dès avant ce jour que les comptes ouverts, tant au siège social que dans les agences constituent un compte courant unique produisant tous les effets légaux et usuels du compte courant et transformant toutes les opérations en simples articles de crédit et de débit, générateurs lors de la clôture, d'un solde qui fera seul apparaître une créance ou une dette exigible.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L'ouverture de plusieurs comptes constitue une distinction purement matérielle pour la clarté des écritures, ceux-ci peuvent à la convenance des parties, être supprimés à tout moment sans avis préalable.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Cette convention de compte courant constitue une condition essentielle à l'attribution des crédits qui pourraient être octroyés par COFINA, en conséquence, les garanties particulières qui pourraient être affectées à une créance quelconque entrant dans le compte courant s'appliquent au solde de ce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COFINA est autorisée à passer d'office au débit du compte courant, et sur simple avis, le montant en principal et accessoires de tous effets de commerce échus et impayés portant la signature de l'emprunteur comme signataire, accepteur, endosseur ou avaliste, lors même que ces effets auraient été négociés par des tiers et hors l'intervention de l’emprunteur.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Il est précisé que, sauf convention contraire expressément constatée par écrit, toutes opérations traitées entre l'emprunteur et COFINA seront, de plein droit, incluses dans le compte courant sus énoncé.</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De même le compte courant comprendra les créances éventuelles, telles notamment que les recours susceptibles d'être exercés par COFINA si elle s'était portée caution ou avaliste de l’Emprunteur avant la clôture du compte.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conséquence, COFINA est dès maintenant autorisée à inscrire d'office au débit du compte de l’emprunteur toutes sommes que cette dernière pourrait lui devoir en principal, plus tous intérêts, commissions, frais et accessoires, quelles que soient l'origine et la nature desdites créances, même si la cause en était antérieure à ce jour.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Rentrent donc dans le compte courant notamment et sans que cette énonciation soit limitative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et facilités quelconques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escomptes d'effets commerciaux portant à un titre quelconque la signature de l’emprunteur ;</w:t>
      </w:r>
    </w:p>
    <w:p>
      <w:pPr>
        <w:widowControl w:val="0"/>
        <w:numPr>
          <w:ilvl w:val="0"/>
          <w:numId w:val="1"/>
        </w:numPr>
        <w:tabs>
          <w:tab w:val="left" w:pos="1211"/>
          <w:tab w:val="clear" w:pos="2345"/>
        </w:tabs>
        <w:overflowPunct w:val="0"/>
        <w:autoSpaceDE w:val="0"/>
        <w:autoSpaceDN w:val="0"/>
        <w:adjustRightInd w:val="0"/>
        <w:spacing w:after="0" w:line="240" w:lineRule="auto"/>
        <w:ind w:left="1211" w:right="-851"/>
        <w:jc w:val="both"/>
        <w:textAlignment w:val="baseline"/>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avances sur produits, sur marchandises ou sur créances à l'encontre de l'Administration ;</w:t>
      </w:r>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rPr>
        <w:t>toutes cautions et avals fournis par COFINA auprès de qui que ce soit</w:t>
      </w:r>
    </w:p>
    <w:p>
      <w:pPr>
        <w:spacing w:line="240" w:lineRule="auto"/>
        <w:jc w:val="both"/>
        <w:rPr>
          <w:rFonts w:hint="default" w:ascii="Times New Roman" w:hAnsi="Times New Roman" w:cs="Times New Roman"/>
          <w:b/>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Objet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Sous réserve de la réalisation des conditions préalables visées à I'article </w:t>
      </w:r>
      <w:r>
        <w:rPr>
          <w:rFonts w:hint="default" w:ascii="Times New Roman" w:hAnsi="Times New Roman" w:cs="Times New Roman"/>
          <w:sz w:val="24"/>
          <w:szCs w:val="24"/>
          <w:highlight w:val="none"/>
          <w:lang w:val="en-US"/>
        </w:rPr>
        <w:t>9</w:t>
      </w:r>
      <w:r>
        <w:rPr>
          <w:rFonts w:hint="default" w:ascii="Times New Roman" w:hAnsi="Times New Roman" w:cs="Times New Roman"/>
          <w:sz w:val="24"/>
          <w:szCs w:val="24"/>
          <w:highlight w:val="none"/>
        </w:rPr>
        <w:t xml:space="preserve"> ci-après, l’institution consent à l'Emprunteur, qui accepte et s'engage à en exécuter les termes, conditions et modalités telles que définies ci-après, </w:t>
      </w:r>
      <w:r>
        <w:rPr>
          <w:rFonts w:hint="default" w:ascii="Times New Roman" w:hAnsi="Times New Roman" w:cs="Times New Roman"/>
          <w:sz w:val="24"/>
          <w:szCs w:val="24"/>
          <w:highlight w:val="none"/>
          <w:shd w:val="clear" w:fill="auto"/>
        </w:rPr>
        <w:t>${verbal_trial.type_of_credit.name}</w:t>
      </w:r>
      <w:r>
        <w:rPr>
          <w:rFonts w:hint="default" w:ascii="Times New Roman" w:hAnsi="Times New Roman" w:cs="Times New Roman"/>
          <w:sz w:val="24"/>
          <w:szCs w:val="24"/>
          <w:highlight w:val="none"/>
        </w:rPr>
        <w:t xml:space="preserve"> aux caractéristiques suivantes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${verbal_trial.amount} F CFA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3</w:t>
      </w:r>
      <w:r>
        <w:rPr>
          <w:rFonts w:hint="default" w:ascii="Times New Roman" w:hAnsi="Times New Roman" w:cs="Times New Roman"/>
          <w:sz w:val="24"/>
          <w:szCs w:val="24"/>
          <w:highlight w:val="none"/>
        </w:rPr>
        <w:t> </w:t>
      </w:r>
      <w:r>
        <w:rPr>
          <w:rFonts w:hint="default" w:ascii="Times New Roman" w:hAnsi="Times New Roman" w:cs="Times New Roman"/>
          <w:b/>
          <w:bCs/>
          <w:sz w:val="24"/>
          <w:szCs w:val="24"/>
          <w:highlight w:val="none"/>
        </w:rPr>
        <w:t xml:space="preserve">: </w:t>
      </w:r>
      <w:r>
        <w:rPr>
          <w:rFonts w:hint="default" w:ascii="Times New Roman" w:hAnsi="Times New Roman" w:cs="Times New Roman"/>
          <w:b/>
          <w:bCs/>
          <w:sz w:val="24"/>
          <w:szCs w:val="24"/>
          <w:highlight w:val="none"/>
          <w:u w:val="single"/>
        </w:rPr>
        <w:t>Durée</w:t>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r>
        <w:rPr>
          <w:rFonts w:hint="default" w:ascii="Times New Roman" w:hAnsi="Times New Roman" w:cs="Times New Roman"/>
          <w:sz w:val="24"/>
          <w:szCs w:val="24"/>
          <w:highlight w:val="none"/>
        </w:rPr>
        <w:tab/>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 Prêt est consenti pour une durée de </w:t>
      </w:r>
      <w:bookmarkStart w:id="2" w:name="_Hlk156214331"/>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shd w:val="clear" w:fill="auto"/>
        </w:rPr>
        <w:t xml:space="preserve"> avec possibilité de remboursement anticipé. Le remboursement se fera au moyen </w:t>
      </w:r>
      <w:bookmarkStart w:id="3" w:name="_Hlk73715632"/>
      <w:r>
        <w:rPr>
          <w:rFonts w:hint="default" w:ascii="Times New Roman" w:hAnsi="Times New Roman" w:cs="Times New Roman"/>
          <w:sz w:val="24"/>
          <w:szCs w:val="24"/>
          <w:highlight w:val="none"/>
          <w:shd w:val="clear" w:fill="auto"/>
        </w:rPr>
        <w:t>d</w:t>
      </w:r>
      <w:bookmarkStart w:id="4" w:name="_Hlk68252455"/>
      <w:r>
        <w:rPr>
          <w:rFonts w:hint="default" w:ascii="Times New Roman" w:hAnsi="Times New Roman" w:cs="Times New Roman"/>
          <w:sz w:val="24"/>
          <w:szCs w:val="24"/>
          <w:highlight w:val="none"/>
          <w:shd w:val="clear" w:fill="auto"/>
        </w:rPr>
        <w:t xml:space="preserve">e ${number_of_due_dates} </w:t>
      </w:r>
      <w:bookmarkEnd w:id="3"/>
      <w:r>
        <w:rPr>
          <w:rFonts w:hint="default" w:ascii="Times New Roman" w:hAnsi="Times New Roman" w:cs="Times New Roman"/>
          <w:b/>
          <w:bCs/>
          <w:sz w:val="24"/>
          <w:szCs w:val="24"/>
          <w:highlight w:val="none"/>
          <w:shd w:val="clear" w:fill="auto"/>
        </w:rPr>
        <w:t>${verbal_trial.periodicity.fr3}</w:t>
      </w:r>
      <w:r>
        <w:rPr>
          <w:rFonts w:hint="default" w:ascii="Times New Roman" w:hAnsi="Times New Roman" w:cs="Times New Roman"/>
          <w:b/>
          <w:sz w:val="24"/>
          <w:szCs w:val="24"/>
          <w:highlight w:val="none"/>
          <w:shd w:val="clear" w:fill="auto"/>
        </w:rPr>
        <w:t xml:space="preserve">, avec </w:t>
      </w:r>
      <w:bookmarkStart w:id="5" w:name="_Hlk78957570"/>
      <w:r>
        <w:rPr>
          <w:rFonts w:hint="default" w:ascii="Times New Roman" w:hAnsi="Times New Roman" w:cs="Times New Roman"/>
          <w:b/>
          <w:sz w:val="24"/>
          <w:szCs w:val="24"/>
          <w:highlight w:val="none"/>
          <w:shd w:val="clear" w:fill="auto"/>
        </w:rPr>
        <w:t xml:space="preserve">une échéance d’un montant </w:t>
      </w:r>
      <w:bookmarkStart w:id="6" w:name="_Hlk81292668"/>
      <w:r>
        <w:rPr>
          <w:rFonts w:hint="default" w:ascii="Times New Roman" w:hAnsi="Times New Roman" w:cs="Times New Roman"/>
          <w:b/>
          <w:sz w:val="24"/>
          <w:szCs w:val="24"/>
          <w:highlight w:val="none"/>
          <w:shd w:val="clear" w:fill="auto"/>
        </w:rPr>
        <w:t xml:space="preserve">de </w:t>
      </w:r>
      <w:bookmarkEnd w:id="4"/>
      <w:bookmarkEnd w:id="5"/>
      <w:bookmarkEnd w:id="6"/>
      <w:r>
        <w:rPr>
          <w:rFonts w:hint="default" w:ascii="Times New Roman" w:hAnsi="Times New Roman" w:cs="Times New Roman"/>
          <w:b/>
          <w:sz w:val="24"/>
          <w:szCs w:val="24"/>
          <w:highlight w:val="none"/>
          <w:shd w:val="clear" w:fill="auto"/>
        </w:rPr>
        <w:t xml:space="preserve">${due_amount} (${due_amount.fr}) F CFA </w:t>
      </w:r>
      <w:bookmarkEnd w:id="2"/>
      <w:r>
        <w:rPr>
          <w:rFonts w:hint="default" w:ascii="Times New Roman" w:hAnsi="Times New Roman" w:cs="Times New Roman"/>
          <w:b/>
          <w:sz w:val="24"/>
          <w:szCs w:val="24"/>
          <w:highlight w:val="none"/>
          <w:shd w:val="clear" w:fill="auto"/>
          <w:lang w:val="en-US"/>
        </w:rPr>
        <w:t>${verbal_trial.periodicity.fr2}</w:t>
      </w:r>
      <w:r>
        <w:rPr>
          <w:rFonts w:hint="default" w:ascii="Times New Roman" w:hAnsi="Times New Roman" w:cs="Times New Roman"/>
          <w:b/>
          <w:sz w:val="24"/>
          <w:szCs w:val="24"/>
          <w:highlight w:val="none"/>
          <w:shd w:val="clear" w:fill="auto"/>
        </w:rPr>
        <w:t xml:space="preserve">. </w:t>
      </w:r>
    </w:p>
    <w:p>
      <w:pP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annexé au présent contrat, précisera le montant exact des échéances, incluant le capital et les intérêts. Ce tableau, détaillant le plan de remboursement, servira de référence définitive pour le calcul des mensualités, des intérêts et du capital restant dû pendant toute la durée du prêt.</w:t>
      </w:r>
    </w:p>
    <w:p>
      <w:pPr>
        <w:spacing w:line="240" w:lineRule="auto"/>
        <w:jc w:val="left"/>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 xml:space="preserve">La première échéance du prêt est prévue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et la dernière échéance </w:t>
      </w:r>
      <w:r>
        <w:rPr>
          <w:rFonts w:hint="default" w:ascii="Times New Roman" w:hAnsi="Times New Roman" w:cs="Times New Roman"/>
          <w:color w:val="111111"/>
          <w:sz w:val="24"/>
          <w:szCs w:val="24"/>
          <w:highlight w:val="none"/>
          <w:shd w:val="clear" w:fill="auto"/>
        </w:rPr>
        <w:t>le ……………………………..</w:t>
      </w:r>
      <w:r>
        <w:rPr>
          <w:rFonts w:hint="default" w:ascii="Times New Roman" w:hAnsi="Times New Roman" w:cs="Times New Roman"/>
          <w:sz w:val="24"/>
          <w:szCs w:val="24"/>
          <w:highlight w:val="none"/>
        </w:rPr>
        <w:t xml:space="preserve"> comme il ressort du tableau d’amortissement faisant foi joint en annexe.</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4</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Mise à disposition du Prêt – Comptabilisation</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opérations relatives au remboursement du présent prêt (intérêts et principal) seront retracées dans le compte N° </w:t>
      </w:r>
      <w:r>
        <w:rPr>
          <w:rFonts w:hint="default" w:ascii="Times New Roman" w:hAnsi="Times New Roman" w:cs="Times New Roman"/>
          <w:sz w:val="24"/>
          <w:szCs w:val="24"/>
          <w:highlight w:val="none"/>
          <w:shd w:val="clear" w:fill="auto"/>
        </w:rPr>
        <w:t>${verbal_trial.account_number}</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d</w:t>
      </w:r>
      <w:r>
        <w:rPr>
          <w:rFonts w:hint="default" w:ascii="Times New Roman" w:hAnsi="Times New Roman" w:cs="Times New Roman"/>
          <w:sz w:val="24"/>
          <w:szCs w:val="24"/>
          <w:highlight w:val="none"/>
        </w:rPr>
        <w:t>omicilié à COFINA Togo SA.</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Destination des fonds</w:t>
      </w:r>
    </w:p>
    <w:p>
      <w:pPr>
        <w:spacing w:line="24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.1.L’Emprunteur déclare que les fonds sont destinés à ${verbal_trial.purpose_of_financing}.</w:t>
      </w:r>
      <w:bookmarkStart w:id="7" w:name="_Hlk156214266"/>
      <w:bookmarkEnd w:id="7"/>
    </w:p>
    <w:p>
      <w:pPr>
        <w:spacing w:line="240" w:lineRule="auto"/>
        <w:jc w:val="both"/>
        <w:rPr>
          <w:rFonts w:hint="default" w:ascii="Times New Roman" w:hAnsi="Times New Roman" w:cs="Times New Roman"/>
          <w:b/>
          <w:sz w:val="24"/>
          <w:szCs w:val="24"/>
          <w:highlight w:val="none"/>
        </w:rPr>
      </w:pP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6</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 xml:space="preserve">Intérêts et mode de remboursement </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.1 </w:t>
      </w:r>
      <w:r>
        <w:rPr>
          <w:rFonts w:hint="default" w:ascii="Times New Roman" w:hAnsi="Times New Roman" w:cs="Times New Roman"/>
          <w:b/>
          <w:bCs/>
          <w:sz w:val="24"/>
          <w:szCs w:val="24"/>
          <w:highlight w:val="none"/>
          <w:u w:val="single"/>
        </w:rPr>
        <w:t xml:space="preserve">Intérêts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s'oblige à payer, sur le montant en principal du Prêt non échu,</w:t>
      </w:r>
      <w:r>
        <w:rPr>
          <w:rFonts w:hint="default" w:ascii="Times New Roman" w:hAnsi="Times New Roman" w:cs="Times New Roman"/>
          <w:b/>
          <w:sz w:val="24"/>
          <w:szCs w:val="24"/>
          <w:highlight w:val="none"/>
          <w:shd w:val="clear" w:fill="auto"/>
        </w:rPr>
        <w:t xml:space="preserve"> ${total_amount_of_interest}</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 (${total_amount_of_interest.fr} F CFA),</w:t>
      </w:r>
      <w:r>
        <w:rPr>
          <w:rFonts w:hint="default" w:ascii="Times New Roman" w:hAnsi="Times New Roman" w:cs="Times New Roman"/>
          <w:sz w:val="24"/>
          <w:szCs w:val="24"/>
          <w:highlight w:val="none"/>
        </w:rPr>
        <w:t xml:space="preserve"> déterminés sur la base d'un taux fixé à ${ht_rate} % hors taxes. </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sz w:val="24"/>
          <w:szCs w:val="24"/>
          <w:highlight w:val="none"/>
        </w:rPr>
        <w:t xml:space="preserve">Les intérêts seront payables par l'Emprunteur mensuellement sur le capital échu et seront compris dans les remboursements périodiques mentionnés à l'article </w:t>
      </w: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 ci-dessous.</w:t>
      </w:r>
    </w:p>
    <w:p>
      <w:pPr>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lang w:val="en-US"/>
        </w:rPr>
        <w:t>6</w:t>
      </w:r>
      <w:r>
        <w:rPr>
          <w:rFonts w:hint="default" w:ascii="Times New Roman" w:hAnsi="Times New Roman" w:cs="Times New Roman"/>
          <w:b/>
          <w:sz w:val="24"/>
          <w:szCs w:val="24"/>
          <w:highlight w:val="none"/>
          <w:u w:val="single"/>
        </w:rPr>
        <w:t xml:space="preserve">.2 Mode de remboursement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Ainsi le montant de l’échéance mensuelle est morcelé en paiement quotidien soit ${day_due_amount.fr}(${day_due_amount}</w:t>
      </w:r>
      <w:r>
        <w:rPr>
          <w:rFonts w:hint="default" w:ascii="Times New Roman" w:hAnsi="Times New Roman" w:cs="Times New Roman"/>
          <w:sz w:val="24"/>
          <w:szCs w:val="24"/>
          <w:highlight w:val="none"/>
          <w:lang w:val="en-US"/>
        </w:rPr>
        <w:t xml:space="preserve"> F CFA</w:t>
      </w:r>
      <w:r>
        <w:rPr>
          <w:rFonts w:hint="default" w:ascii="Times New Roman" w:hAnsi="Times New Roman" w:cs="Times New Roman"/>
          <w:sz w:val="24"/>
          <w:szCs w:val="24"/>
          <w:highlight w:val="none"/>
        </w:rPr>
        <w:t xml:space="preserve">) (soit l’échéance mensuelle divisé par 20) », collecté par les agents accrédités de COFINA TOGO SA à cet effet, contre signature du carnet de collecte ou délivrance d’un reçu dument signé par l’agent.  </w:t>
      </w:r>
    </w:p>
    <w:p>
      <w:pPr>
        <w:tabs>
          <w:tab w:val="left" w:pos="3564"/>
        </w:tabs>
        <w:spacing w:line="240" w:lineRule="auto"/>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rPr>
        <w:t>Article </w:t>
      </w:r>
      <w:r>
        <w:rPr>
          <w:rFonts w:hint="default" w:ascii="Times New Roman" w:hAnsi="Times New Roman" w:cs="Times New Roman"/>
          <w:b/>
          <w:sz w:val="24"/>
          <w:szCs w:val="24"/>
          <w:highlight w:val="none"/>
          <w:lang w:val="en-US"/>
        </w:rPr>
        <w:t>7</w:t>
      </w:r>
      <w:r>
        <w:rPr>
          <w:rFonts w:hint="default" w:ascii="Times New Roman" w:hAnsi="Times New Roman" w:cs="Times New Roman"/>
          <w:b/>
          <w:sz w:val="24"/>
          <w:szCs w:val="24"/>
          <w:highlight w:val="none"/>
        </w:rPr>
        <w:t xml:space="preserve"> : </w:t>
      </w:r>
      <w:r>
        <w:rPr>
          <w:rFonts w:hint="default" w:ascii="Times New Roman" w:hAnsi="Times New Roman" w:cs="Times New Roman"/>
          <w:b/>
          <w:sz w:val="24"/>
          <w:szCs w:val="24"/>
          <w:highlight w:val="none"/>
          <w:u w:val="single"/>
        </w:rPr>
        <w:t>Principal</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7</w:t>
      </w:r>
      <w:r>
        <w:rPr>
          <w:rFonts w:hint="default" w:ascii="Times New Roman" w:hAnsi="Times New Roman" w:cs="Times New Roman"/>
          <w:sz w:val="24"/>
          <w:szCs w:val="24"/>
          <w:highlight w:val="none"/>
        </w:rPr>
        <w:t xml:space="preserve">.1 L'Emprunteur s'oblige à rembourser le montant en principal du prêt soit </w:t>
      </w:r>
      <w:bookmarkStart w:id="8" w:name="_Hlk72913289"/>
      <w:r>
        <w:rPr>
          <w:rFonts w:hint="default" w:ascii="Times New Roman" w:hAnsi="Times New Roman" w:cs="Times New Roman"/>
          <w:sz w:val="24"/>
          <w:szCs w:val="24"/>
          <w:highlight w:val="none"/>
        </w:rPr>
        <w:t xml:space="preserve">de </w:t>
      </w:r>
      <w:bookmarkEnd w:id="8"/>
      <w:r>
        <w:rPr>
          <w:rFonts w:hint="default" w:ascii="Times New Roman" w:hAnsi="Times New Roman" w:cs="Times New Roman"/>
          <w:sz w:val="24"/>
          <w:szCs w:val="24"/>
          <w:highlight w:val="none"/>
        </w:rPr>
        <w:t xml:space="preserve"> ${total_to_pay}</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b/>
          <w:sz w:val="24"/>
          <w:szCs w:val="24"/>
          <w:highlight w:val="none"/>
          <w:shd w:val="clear" w:fill="auto"/>
        </w:rPr>
        <w:t xml:space="preserve">F CFA, Soit ${total_to_pay.fr} F CFA </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 xml:space="preserve">comprenant la somme nécessaire à l’amortissement du capital et les intérêts au taux stipulé à l’article </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 xml:space="preserve"> ci-dessus. </w:t>
      </w:r>
    </w:p>
    <w:p>
      <w:pPr>
        <w:spacing w:line="240" w:lineRule="auto"/>
        <w:jc w:val="both"/>
        <w:rPr>
          <w:rFonts w:hint="default" w:ascii="Times New Roman" w:hAnsi="Times New Roman" w:cs="Times New Roman"/>
          <w:b/>
          <w:bCs/>
          <w:sz w:val="24"/>
          <w:szCs w:val="24"/>
          <w:highlight w:val="none"/>
          <w:u w:val="singl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8</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Intérêts de retard</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8</w:t>
      </w:r>
      <w:r>
        <w:rPr>
          <w:rFonts w:hint="default" w:ascii="Times New Roman" w:hAnsi="Times New Roman" w:cs="Times New Roman"/>
          <w:sz w:val="24"/>
          <w:szCs w:val="24"/>
          <w:highlight w:val="none"/>
        </w:rPr>
        <w:t xml:space="preserve">.1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.2 En cas d’impayé sur ce présent crédit, les pénalités inscrites sur nos conditions de banque affichées dans nos agences seront appliquées.</w:t>
      </w:r>
    </w:p>
    <w:p>
      <w:pPr>
        <w:shd w:val="clea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.3 Les intérêts, et ce compris les intérêts de retard, porteront eux-mêmes intérêt au taux de pénalité en vigueur s'ils sont dus pour une année entière.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9</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Garanties et conforts</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sûreté et garantie du remboursement du présent prêt, soit la somme</w:t>
      </w:r>
      <w:r>
        <w:rPr>
          <w:rFonts w:hint="default" w:ascii="Times New Roman" w:hAnsi="Times New Roman" w:cs="Times New Roman"/>
          <w:b/>
          <w:sz w:val="24"/>
          <w:szCs w:val="24"/>
          <w:highlight w:val="none"/>
          <w:shd w:val="clear" w:fill="auto"/>
        </w:rPr>
        <w:t xml:space="preserve"> Soit ${total_to_pay.fr} F CFA</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${total_to_pay}</w:t>
      </w:r>
      <w:r>
        <w:rPr>
          <w:rFonts w:hint="default" w:ascii="Times New Roman" w:hAnsi="Times New Roman" w:cs="Times New Roman"/>
          <w:b/>
          <w:sz w:val="24"/>
          <w:szCs w:val="24"/>
          <w:highlight w:val="none"/>
          <w:shd w:val="clear" w:fill="auto"/>
          <w:lang w:val="en-US"/>
        </w:rPr>
        <w:t xml:space="preserve"> </w:t>
      </w:r>
      <w:r>
        <w:rPr>
          <w:rFonts w:hint="default" w:ascii="Times New Roman" w:hAnsi="Times New Roman" w:cs="Times New Roman"/>
          <w:b/>
          <w:sz w:val="24"/>
          <w:szCs w:val="24"/>
          <w:highlight w:val="none"/>
          <w:shd w:val="clear" w:fill="auto"/>
        </w:rPr>
        <w:t>F CFA</w:t>
      </w:r>
      <w:r>
        <w:rPr>
          <w:rFonts w:hint="default" w:ascii="Times New Roman" w:hAnsi="Times New Roman" w:cs="Times New Roman"/>
          <w:b/>
          <w:sz w:val="24"/>
          <w:szCs w:val="24"/>
          <w:highlight w:val="none"/>
          <w:shd w:val="clear" w:fill="auto"/>
          <w:lang w:val="en-US"/>
        </w:rPr>
        <w:t>)</w:t>
      </w:r>
      <w:r>
        <w:rPr>
          <w:rFonts w:hint="default" w:ascii="Times New Roman" w:hAnsi="Times New Roman" w:cs="Times New Roman"/>
          <w:b/>
          <w:sz w:val="24"/>
          <w:szCs w:val="24"/>
          <w:highlight w:val="none"/>
          <w:shd w:val="clear" w:fill="auto"/>
        </w:rPr>
        <w:t xml:space="preserve"> </w:t>
      </w:r>
      <w:r>
        <w:rPr>
          <w:rFonts w:hint="default" w:ascii="Times New Roman" w:hAnsi="Times New Roman" w:cs="Times New Roman"/>
          <w:sz w:val="24"/>
          <w:szCs w:val="24"/>
          <w:highlight w:val="none"/>
          <w:shd w:val="clear" w:fill="auto"/>
        </w:rPr>
        <w:t xml:space="preserve">soit le montant du crédit + </w:t>
      </w:r>
      <w:r>
        <w:rPr>
          <w:rFonts w:hint="default" w:ascii="Times New Roman" w:hAnsi="Times New Roman" w:cs="Times New Roman"/>
          <w:b/>
          <w:sz w:val="24"/>
          <w:szCs w:val="24"/>
          <w:highlight w:val="none"/>
          <w:shd w:val="clear" w:fill="auto"/>
        </w:rPr>
        <w:t>${total_amount_of_interest} (${total_amount_of_interest.fr}),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2"/>
        </w:num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${comment}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Les garanties qui précèdent s’ajoutent ou s’ajouteront à toutes garanties réelles ou personnelles qui ont pu ou pourront être fournies au profit de l’institution par le Client ou par tous tiers.</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 xml:space="preserve">Article </w:t>
      </w:r>
      <w:r>
        <w:rPr>
          <w:rFonts w:hint="default" w:ascii="Times New Roman" w:hAnsi="Times New Roman" w:cs="Times New Roman"/>
          <w:b/>
          <w:bCs/>
          <w:sz w:val="24"/>
          <w:szCs w:val="24"/>
          <w:highlight w:val="none"/>
          <w:lang w:val="en-US"/>
        </w:rPr>
        <w:t>10</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Externalisation du recouvrement</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L'emprunteur autorise L’institution à communiquer à ce prestataire toutes les informations nécessaires à la gestion du recouvrement, y compris ses coordonnées et les détails du crédit, conformément aux règles de confidentialité et protection des données personnelles. </w:t>
      </w:r>
    </w:p>
    <w:p>
      <w:pPr>
        <w:tabs>
          <w:tab w:val="left" w:pos="3660"/>
        </w:tabs>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 xml:space="preserve">Article </w:t>
      </w:r>
      <w:r>
        <w:rPr>
          <w:rFonts w:hint="default" w:ascii="Times New Roman" w:hAnsi="Times New Roman" w:cs="Times New Roman"/>
          <w:b/>
          <w:sz w:val="24"/>
          <w:szCs w:val="24"/>
          <w:highlight w:val="none"/>
          <w:lang w:val="en-US"/>
        </w:rPr>
        <w:t>11</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Exigibilité anticipée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Toutes les sommes dues par le Client à l’institution au titre du présent contrat seront exigibles par anticipation, immédiatement et de plein droit en cas de :</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Situation du Client irrémédiablement compromise ou comportement gravement répréhensible, ainsi que tous les cas où la loi le permet.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décès du Client,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exclusion par l’institution Centrale de la signature du Client,</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affectation du prêt à un objet autre que celui visé à l'article 1 des présentes,</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si les garanties énumérées à l’article « Garanties », dont l’institution doit bénéficier pour sûreté du présent prêt n’étaient  pas constituées ou maintenues ou si les garanties ne venaient pas au rang convenu,</w:t>
      </w:r>
    </w:p>
    <w:p>
      <w:pPr>
        <w:spacing w:before="0" w:after="0" w:line="240" w:lineRule="auto"/>
        <w:ind w:left="720"/>
        <w:jc w:val="both"/>
        <w:rPr>
          <w:rFonts w:hint="default" w:ascii="Times New Roman" w:hAnsi="Times New Roman" w:cs="Times New Roman"/>
          <w:sz w:val="24"/>
          <w:szCs w:val="24"/>
          <w:highlight w:val="none"/>
        </w:rPr>
      </w:pP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non réalisation à première demande de l’institution des promesses de garanties dont il est fait état à l’article « Garanties »,</w:t>
      </w:r>
    </w:p>
    <w:p>
      <w:pPr>
        <w:numPr>
          <w:ilvl w:val="0"/>
          <w:numId w:val="3"/>
        </w:numPr>
        <w:spacing w:before="0" w:after="0"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au cas où plus généralement le Client n'exécuterait pas l'une quelconque de ses obligations résultant du présent contrat et s’il n’y était pas remédié.</w:t>
      </w:r>
    </w:p>
    <w:p>
      <w:pPr>
        <w:spacing w:line="240" w:lineRule="auto"/>
        <w:jc w:val="both"/>
        <w:rPr>
          <w:rFonts w:hint="default" w:ascii="Times New Roman" w:hAnsi="Times New Roman" w:cs="Times New Roman"/>
          <w:b/>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2</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Cession</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L’institution pourra céder ses droits et obligations en vertu du présent contrat de Prêt.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En cas de survenance d’une telle éventualité, l’institution s’engage à ce que la cession n’entraine aucun coût supplémentaire pour l’Emprunteur. </w:t>
      </w:r>
    </w:p>
    <w:p>
      <w:pPr>
        <w:spacing w:line="240" w:lineRule="auto"/>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Article 1</w:t>
      </w:r>
      <w:r>
        <w:rPr>
          <w:rFonts w:hint="default" w:ascii="Times New Roman" w:hAnsi="Times New Roman" w:cs="Times New Roman"/>
          <w:b/>
          <w:bCs/>
          <w:sz w:val="24"/>
          <w:szCs w:val="24"/>
          <w:highlight w:val="none"/>
          <w:lang w:val="en-US"/>
        </w:rPr>
        <w:t>3</w:t>
      </w:r>
      <w:r>
        <w:rPr>
          <w:rFonts w:hint="default" w:ascii="Times New Roman" w:hAnsi="Times New Roman" w:cs="Times New Roman"/>
          <w:b/>
          <w:bCs/>
          <w:sz w:val="24"/>
          <w:szCs w:val="24"/>
          <w:highlight w:val="none"/>
        </w:rPr>
        <w:t xml:space="preserve"> : </w:t>
      </w:r>
      <w:r>
        <w:rPr>
          <w:rFonts w:hint="default" w:ascii="Times New Roman" w:hAnsi="Times New Roman" w:cs="Times New Roman"/>
          <w:b/>
          <w:bCs/>
          <w:sz w:val="24"/>
          <w:szCs w:val="24"/>
          <w:highlight w:val="none"/>
          <w:u w:val="single"/>
        </w:rPr>
        <w:t>Report d’échéance</w:t>
      </w:r>
      <w:r>
        <w:rPr>
          <w:rFonts w:hint="default" w:ascii="Times New Roman" w:hAnsi="Times New Roman" w:cs="Times New Roman"/>
          <w:b/>
          <w:bCs/>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A la demande de l’emprunteur et au regard de sa situation financière, l’institution peut consentir un report d’échéance sans que cela ne donne lieu à une modification ou un avenant au présent contrat.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L’emprunteur sera informé par une notification écrite des conditions d’approbation du report d'échéance des paiements dus en vertu du présent contrat. Cette notification comportera, le cas échéant, la nouvelle date d'échéance ainsi que les modalités mises à jour concernant les montants dus, les intérêts, et les frais afférents au report. L’emprunteur devra, après réception de la notification de report, la signer afin de confirmer son acceptation des nouvelles conditions.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À la suite du report d'échéance, un nouveau tableau d'amortissement sera établi, tenant compte de l'extension des délais et des ajustements nécessaires au calcul des intérêts ou autres charges appliquées. Ce tableau, incluant les nouvelles échéances et montants, sera communiqué au client a la suite de la mise en place du report.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Le client devra, après réception du tableau d'amortissement mis à jour, le signer. La signature de l’emprunteur constitue une preuve d'accord sur les modifications apportées au calendrier de paiement et aux conditions financières du contrat, résultant du report d'échéance.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4</w:t>
      </w:r>
      <w:r>
        <w:rPr>
          <w:rFonts w:hint="default" w:ascii="Times New Roman" w:hAnsi="Times New Roman" w:cs="Times New Roman"/>
          <w:b/>
          <w:sz w:val="24"/>
          <w:szCs w:val="24"/>
          <w:highlight w:val="none"/>
        </w:rPr>
        <w:t> :</w:t>
      </w:r>
      <w:r>
        <w:rPr>
          <w:rFonts w:hint="default" w:ascii="Times New Roman" w:hAnsi="Times New Roman" w:cs="Times New Roman"/>
          <w:sz w:val="24"/>
          <w:szCs w:val="24"/>
          <w:highlight w:val="none"/>
        </w:rPr>
        <w:t xml:space="preserve"> </w:t>
      </w:r>
      <w:r>
        <w:rPr>
          <w:rFonts w:hint="default" w:ascii="Times New Roman" w:hAnsi="Times New Roman" w:cs="Times New Roman"/>
          <w:b/>
          <w:bCs/>
          <w:sz w:val="24"/>
          <w:szCs w:val="24"/>
          <w:highlight w:val="none"/>
          <w:u w:val="single"/>
        </w:rPr>
        <w:t>Impôts et frais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impôts ou taxes quelconques présents et à venir sur le principal ou les intérêts des sommes qui pourront être dues par le client seront à sa charge, y compris ceux dont l’institution sera légalement redevable.</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5</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 xml:space="preserve">Divers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.1 En aucun cas, l'Emprunteur ne pourra opposer à l’institution, dans le cadre de la présente Convention, des réclamations ou des exceptions quelles qu'elles soient, tirées de toute autre convention la liant avec elle.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pacing w:line="240" w:lineRule="auto"/>
        <w:jc w:val="both"/>
        <w:rPr>
          <w:rFonts w:hint="default" w:ascii="Times New Roman" w:hAnsi="Times New Roman" w:cs="Times New Roman"/>
          <w:sz w:val="24"/>
          <w:szCs w:val="24"/>
          <w:highlight w:val="none"/>
          <w:u w:val="singl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.3 Tous préavis, avis, accords ou communications relatifs aux présentes devront être envoyés en langue française par courrier recommandé ou transmis par porteur avec cahier de transmission, ou par télécopie suivie d'une confirmation courrier.</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5</w:t>
      </w:r>
      <w:r>
        <w:rPr>
          <w:rFonts w:hint="default" w:ascii="Times New Roman" w:hAnsi="Times New Roman" w:cs="Times New Roman"/>
          <w:sz w:val="24"/>
          <w:szCs w:val="24"/>
          <w:highlight w:val="none"/>
        </w:rPr>
        <w:t xml:space="preserve">.5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 </w:t>
      </w:r>
    </w:p>
    <w:p>
      <w:pPr>
        <w:spacing w:line="240" w:lineRule="auto"/>
        <w:jc w:val="both"/>
        <w:rPr>
          <w:rFonts w:hint="default" w:ascii="Times New Roman" w:hAnsi="Times New Roman" w:cs="Times New Roman"/>
          <w:sz w:val="24"/>
          <w:szCs w:val="24"/>
          <w:highlight w:val="none"/>
        </w:rPr>
      </w:pP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Article 1</w:t>
      </w:r>
      <w:r>
        <w:rPr>
          <w:rFonts w:hint="default" w:ascii="Times New Roman" w:hAnsi="Times New Roman" w:cs="Times New Roman"/>
          <w:b/>
          <w:sz w:val="24"/>
          <w:szCs w:val="24"/>
          <w:highlight w:val="none"/>
          <w:lang w:val="en-US"/>
        </w:rPr>
        <w:t>6</w:t>
      </w:r>
      <w:r>
        <w:rPr>
          <w:rFonts w:hint="default" w:ascii="Times New Roman" w:hAnsi="Times New Roman" w:cs="Times New Roman"/>
          <w:sz w:val="24"/>
          <w:szCs w:val="24"/>
          <w:highlight w:val="none"/>
        </w:rPr>
        <w:t xml:space="preserve"> : </w:t>
      </w:r>
      <w:r>
        <w:rPr>
          <w:rFonts w:hint="default" w:ascii="Times New Roman" w:hAnsi="Times New Roman" w:cs="Times New Roman"/>
          <w:b/>
          <w:bCs/>
          <w:sz w:val="24"/>
          <w:szCs w:val="24"/>
          <w:highlight w:val="none"/>
          <w:u w:val="single"/>
        </w:rPr>
        <w:t>Droit applicable et attribution de compétence</w:t>
      </w:r>
      <w:r>
        <w:rPr>
          <w:rFonts w:hint="default" w:ascii="Times New Roman" w:hAnsi="Times New Roman" w:cs="Times New Roman"/>
          <w:sz w:val="24"/>
          <w:szCs w:val="24"/>
          <w:highlight w:val="none"/>
        </w:rPr>
        <w:t xml:space="preserv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16</w:t>
      </w:r>
      <w:r>
        <w:rPr>
          <w:rFonts w:hint="default" w:ascii="Times New Roman" w:hAnsi="Times New Roman" w:cs="Times New Roman"/>
          <w:sz w:val="24"/>
          <w:szCs w:val="24"/>
          <w:highlight w:val="none"/>
        </w:rPr>
        <w:t>.1 Le Contrat est régi par le droit Togolais.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6</w:t>
      </w:r>
      <w:r>
        <w:rPr>
          <w:rFonts w:hint="default" w:ascii="Times New Roman" w:hAnsi="Times New Roman" w:cs="Times New Roman"/>
          <w:sz w:val="24"/>
          <w:szCs w:val="24"/>
          <w:highlight w:val="none"/>
        </w:rPr>
        <w:t>.2 Tout litige qui pourrait naître de l’interprétation et/ou de l’exécution du Contrat, qui n’aura pas été réglé à l’amiable, sera de la compétence des juridictions Togolaises.</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Fait à Lomé, le ………………</w:t>
      </w:r>
    </w:p>
    <w:p>
      <w:pPr>
        <w:spacing w:line="240" w:lineRule="auto"/>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En Trois (03) exemplaires </w:t>
      </w: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jc w:val="center"/>
        <w:rPr>
          <w:rFonts w:hint="default" w:ascii="Times New Roman" w:hAnsi="Times New Roman" w:cs="Times New Roman"/>
          <w:b/>
          <w:sz w:val="24"/>
          <w:szCs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10" w:name="_GoBack"/>
      <w:bookmarkEnd w:id="10"/>
    </w:p>
    <w:p>
      <w:pPr>
        <w:rPr>
          <w:rFonts w:hint="default" w:ascii="Times New Roman" w:hAnsi="Times New Roman" w:cs="Times New Roman"/>
          <w:b/>
          <w:sz w:val="24"/>
          <w:szCs w:val="24"/>
          <w:highlight w:val="none"/>
        </w:rPr>
      </w:pPr>
      <w:r>
        <w:rPr>
          <w:rFonts w:hint="default" w:ascii="Times New Roman" w:hAnsi="Times New Roman" w:cs="Times New Roman"/>
          <w:bCs/>
          <w:iCs/>
          <w:sz w:val="24"/>
          <w:szCs w:val="24"/>
        </w:rPr>
        <w:t xml:space="preserve">                         </w:t>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lang w:val="en-US"/>
        </w:rPr>
        <w:tab/>
      </w:r>
      <w:r>
        <w:rPr>
          <w:rFonts w:hint="default" w:ascii="Times New Roman" w:hAnsi="Times New Roman" w:cs="Times New Roman"/>
          <w:bCs/>
          <w:iCs/>
          <w:sz w:val="24"/>
          <w:szCs w:val="24"/>
        </w:rPr>
        <w:t xml:space="preserve">                                                          </w:t>
      </w:r>
    </w:p>
    <w:p>
      <w:pPr>
        <w:rPr>
          <w:rFonts w:hint="default" w:ascii="Times New Roman" w:hAnsi="Times New Roman" w:cs="Times New Roman"/>
          <w:b/>
          <w:sz w:val="24"/>
          <w:szCs w:val="24"/>
          <w:highlight w:val="none"/>
        </w:rPr>
      </w:pPr>
    </w:p>
    <w:p>
      <w:pPr>
        <w:rPr>
          <w:rFonts w:hint="default" w:ascii="Times New Roman" w:hAnsi="Times New Roman" w:cs="Times New Roman"/>
          <w:b/>
          <w:bCs/>
          <w:iCs/>
          <w:sz w:val="24"/>
          <w:szCs w:val="24"/>
          <w:highlight w:val="none"/>
        </w:rPr>
      </w:pPr>
      <w:r>
        <w:rPr>
          <w:rFonts w:hint="default" w:ascii="Times New Roman" w:hAnsi="Times New Roman" w:cs="Times New Roman"/>
          <w:bCs/>
          <w:iCs/>
          <w:sz w:val="24"/>
          <w:szCs w:val="24"/>
          <w:highlight w:val="none"/>
        </w:rPr>
        <w:t xml:space="preserve">                                   </w:t>
      </w: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highlight w:val="none"/>
          <w:shd w:val="clear" w:fill="auto"/>
        </w:rPr>
        <w:t xml:space="preserve">Pour le Client </w:t>
      </w:r>
    </w:p>
    <w:p>
      <w:pPr>
        <w:jc w:val="center"/>
        <w:rPr>
          <w:rFonts w:hint="default" w:ascii="Times New Roman" w:hAnsi="Times New Roman" w:cs="Times New Roman"/>
          <w:b/>
          <w:bCs/>
          <w:sz w:val="24"/>
          <w:szCs w:val="24"/>
          <w:highlight w:val="none"/>
          <w:lang w:val="en-US"/>
        </w:rPr>
      </w:pPr>
      <w:bookmarkStart w:id="9" w:name="_Hlk156213304"/>
      <w:r>
        <w:rPr>
          <w:rFonts w:hint="default" w:ascii="Times New Roman" w:hAnsi="Times New Roman" w:cs="Times New Roman"/>
          <w:b/>
          <w:sz w:val="24"/>
          <w:szCs w:val="24"/>
          <w:highlight w:val="none"/>
          <w:lang w:val="en-US"/>
        </w:rPr>
        <w:t>${company.denomination}</w:t>
      </w:r>
    </w:p>
    <w:bookmarkEnd w:id="9"/>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bCs w:val="0"/>
          <w:sz w:val="24"/>
          <w:szCs w:val="24"/>
          <w:highlight w:val="none"/>
        </w:rPr>
      </w:pPr>
    </w:p>
    <w:p>
      <w:pPr>
        <w:spacing w:before="0" w:after="200"/>
        <w:jc w:val="center"/>
        <w:rPr>
          <w:rFonts w:hint="default" w:ascii="Times New Roman" w:hAnsi="Times New Roman" w:cs="Times New Roman"/>
          <w:sz w:val="24"/>
          <w:szCs w:val="24"/>
          <w:highlight w:val="none"/>
          <w:shd w:val="clear" w:fill="auto"/>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footerReference r:id="rId8" w:type="first"/>
      <w:headerReference r:id="rId5" w:type="default"/>
      <w:footerReference r:id="rId6" w:type="default"/>
      <w:footerReference r:id="rId7" w:type="even"/>
      <w:pgSz w:w="11906" w:h="16838"/>
      <w:pgMar w:top="1417" w:right="1417" w:bottom="1417" w:left="1417" w:header="708" w:footer="708" w:gutter="0"/>
      <w:pgBorders>
        <w:top w:val="none" w:sz="0" w:space="0"/>
        <w:left w:val="none" w:sz="0" w:space="0"/>
        <w:bottom w:val="none" w:sz="0" w:space="0"/>
        <w:right w:val="none" w:sz="0" w:space="0"/>
      </w:pgBorders>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1"/>
    <w:family w:val="roman"/>
    <w:pitch w:val="default"/>
    <w:sig w:usb0="00000000" w:usb1="00000000" w:usb2="00000008" w:usb3="00000000" w:csb0="20000057" w:csb1="00080000"/>
  </w:font>
  <w:font w:name="DejaVu Sans">
    <w:panose1 w:val="020B0603030804020204"/>
    <w:charset w:val="00"/>
    <w:family w:val="auto"/>
    <w:pitch w:val="default"/>
    <w:sig w:usb0="E7006EFF" w:usb1="D200FDFF" w:usb2="0A246029" w:usb3="0400200C" w:csb0="600001FF" w:csb1="DFFF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rPr>
        <w:rFonts w:ascii="Times New Roman" w:hAnsi="Times New Roman"/>
        <w:b/>
        <w:highlight w:val="none"/>
      </w:rPr>
    </w:pPr>
    <w:r>
      <w:rPr>
        <w:sz w:val="16"/>
        <w:szCs w:val="16"/>
        <w:highlight w:val="none"/>
      </w:rPr>
      <w:t>CONTRAT DE CREDIT COFINA –</w:t>
    </w:r>
    <w:r>
      <w:rPr>
        <w:rFonts w:ascii="Times New Roman" w:hAnsi="Times New Roman"/>
        <w:b/>
        <w:highlight w:val="none"/>
      </w:rPr>
      <w:t xml:space="preserve"> </w:t>
    </w:r>
    <w:r>
      <w:rPr>
        <w:rFonts w:hint="default" w:ascii="Times New Roman" w:hAnsi="Times New Roman"/>
        <w:b/>
        <w:highlight w:val="none"/>
      </w:rPr>
      <w:t>${company.denomination}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${verbal_trial.civility}</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XMdIb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${verbal_trial.civility}</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wOkJAK8BAACA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4</w:t>
                    </w:r>
                    <w:r>
                      <w:rPr>
                        <w:rStyle w:val="10"/>
                        <w:color w:val="000000"/>
                      </w:rPr>
                      <w:fldChar w:fldCharType="end"/>
                    </w:r>
                  </w:p>
                </w:txbxContent>
              </v:textbox>
              <w10:wrap type="square"/>
            </v:rect>
          </w:pict>
        </mc:Fallback>
      </mc:AlternateContent>
    </w:r>
    <w:r>
      <w:rPr>
        <w:b/>
        <w:bCs/>
        <w:iCs/>
        <w:sz w:val="16"/>
        <w:szCs w:val="16"/>
        <w:shd w:val="clear" w:fill="auto"/>
      </w:rPr>
      <w:t>${verbal_trial.applicant_last_name} ${verbal_trial.applicant_first_name}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pPr>
    <w:r>
      <w:rPr>
        <w:rFonts w:hint="default"/>
      </w:rPr>
      <w:t>N°${verbal_trial.committee_id}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BC127"/>
    <w:multiLevelType w:val="multilevel"/>
    <w:tmpl w:val="9FFBC127"/>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
    <w:nsid w:val="CDEAFEFF"/>
    <w:multiLevelType w:val="multilevel"/>
    <w:tmpl w:val="CDEAFE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4C4E0D44"/>
    <w:multiLevelType w:val="multilevel"/>
    <w:tmpl w:val="4C4E0D44"/>
    <w:lvl w:ilvl="0" w:tentative="0">
      <w:start w:val="1"/>
      <w:numFmt w:val="bullet"/>
      <w:lvlText w:val=""/>
      <w:lvlJc w:val="left"/>
      <w:pPr>
        <w:tabs>
          <w:tab w:val="left" w:pos="2345"/>
        </w:tabs>
        <w:ind w:left="2345" w:hanging="360"/>
      </w:pPr>
      <w:rPr>
        <w:rFonts w:hint="default" w:ascii="Wingdings" w:hAnsi="Wingdings"/>
      </w:rPr>
    </w:lvl>
    <w:lvl w:ilvl="1" w:tentative="0">
      <w:start w:val="1"/>
      <w:numFmt w:val="bullet"/>
      <w:lvlText w:val="o"/>
      <w:lvlJc w:val="left"/>
      <w:pPr>
        <w:tabs>
          <w:tab w:val="left" w:pos="3065"/>
        </w:tabs>
        <w:ind w:left="3065" w:hanging="360"/>
      </w:pPr>
      <w:rPr>
        <w:rFonts w:hint="default" w:ascii="Courier New" w:hAnsi="Courier New" w:cs="Courier New"/>
      </w:rPr>
    </w:lvl>
    <w:lvl w:ilvl="2" w:tentative="0">
      <w:start w:val="1"/>
      <w:numFmt w:val="bullet"/>
      <w:lvlText w:val=""/>
      <w:lvlJc w:val="left"/>
      <w:pPr>
        <w:tabs>
          <w:tab w:val="left" w:pos="3785"/>
        </w:tabs>
        <w:ind w:left="3785" w:hanging="360"/>
      </w:pPr>
      <w:rPr>
        <w:rFonts w:hint="default" w:ascii="Wingdings" w:hAnsi="Wingdings"/>
      </w:rPr>
    </w:lvl>
    <w:lvl w:ilvl="3" w:tentative="0">
      <w:start w:val="1"/>
      <w:numFmt w:val="bullet"/>
      <w:lvlText w:val=""/>
      <w:lvlJc w:val="left"/>
      <w:pPr>
        <w:tabs>
          <w:tab w:val="left" w:pos="4505"/>
        </w:tabs>
        <w:ind w:left="4505" w:hanging="360"/>
      </w:pPr>
      <w:rPr>
        <w:rFonts w:hint="default" w:ascii="Symbol" w:hAnsi="Symbol"/>
      </w:rPr>
    </w:lvl>
    <w:lvl w:ilvl="4" w:tentative="0">
      <w:start w:val="1"/>
      <w:numFmt w:val="bullet"/>
      <w:lvlText w:val="o"/>
      <w:lvlJc w:val="left"/>
      <w:pPr>
        <w:tabs>
          <w:tab w:val="left" w:pos="5225"/>
        </w:tabs>
        <w:ind w:left="5225" w:hanging="360"/>
      </w:pPr>
      <w:rPr>
        <w:rFonts w:hint="default" w:ascii="Courier New" w:hAnsi="Courier New" w:cs="Courier New"/>
      </w:rPr>
    </w:lvl>
    <w:lvl w:ilvl="5" w:tentative="0">
      <w:start w:val="1"/>
      <w:numFmt w:val="bullet"/>
      <w:lvlText w:val=""/>
      <w:lvlJc w:val="left"/>
      <w:pPr>
        <w:tabs>
          <w:tab w:val="left" w:pos="5945"/>
        </w:tabs>
        <w:ind w:left="5945" w:hanging="360"/>
      </w:pPr>
      <w:rPr>
        <w:rFonts w:hint="default" w:ascii="Wingdings" w:hAnsi="Wingdings"/>
      </w:rPr>
    </w:lvl>
    <w:lvl w:ilvl="6" w:tentative="0">
      <w:start w:val="1"/>
      <w:numFmt w:val="bullet"/>
      <w:lvlText w:val=""/>
      <w:lvlJc w:val="left"/>
      <w:pPr>
        <w:tabs>
          <w:tab w:val="left" w:pos="6665"/>
        </w:tabs>
        <w:ind w:left="6665" w:hanging="360"/>
      </w:pPr>
      <w:rPr>
        <w:rFonts w:hint="default" w:ascii="Symbol" w:hAnsi="Symbol"/>
      </w:rPr>
    </w:lvl>
    <w:lvl w:ilvl="7" w:tentative="0">
      <w:start w:val="1"/>
      <w:numFmt w:val="bullet"/>
      <w:lvlText w:val="o"/>
      <w:lvlJc w:val="left"/>
      <w:pPr>
        <w:tabs>
          <w:tab w:val="left" w:pos="7385"/>
        </w:tabs>
        <w:ind w:left="7385" w:hanging="360"/>
      </w:pPr>
      <w:rPr>
        <w:rFonts w:hint="default" w:ascii="Courier New" w:hAnsi="Courier New" w:cs="Courier New"/>
      </w:rPr>
    </w:lvl>
    <w:lvl w:ilvl="8" w:tentative="0">
      <w:start w:val="1"/>
      <w:numFmt w:val="bullet"/>
      <w:lvlText w:val=""/>
      <w:lvlJc w:val="left"/>
      <w:pPr>
        <w:tabs>
          <w:tab w:val="left" w:pos="8105"/>
        </w:tabs>
        <w:ind w:left="8105"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7BB914"/>
    <w:rsid w:val="1973F31C"/>
    <w:rsid w:val="1ABF6593"/>
    <w:rsid w:val="1FB2C1BD"/>
    <w:rsid w:val="1FDB046A"/>
    <w:rsid w:val="275380D8"/>
    <w:rsid w:val="2DDFBC87"/>
    <w:rsid w:val="30DD53FD"/>
    <w:rsid w:val="39FA04C4"/>
    <w:rsid w:val="3F33D107"/>
    <w:rsid w:val="3FEE4DEC"/>
    <w:rsid w:val="44647091"/>
    <w:rsid w:val="4DE5DE0B"/>
    <w:rsid w:val="53DF964A"/>
    <w:rsid w:val="55EE49DA"/>
    <w:rsid w:val="573CB4F2"/>
    <w:rsid w:val="5BFF754C"/>
    <w:rsid w:val="5DFF336E"/>
    <w:rsid w:val="5EF54878"/>
    <w:rsid w:val="5F4B5793"/>
    <w:rsid w:val="5F5DFFF7"/>
    <w:rsid w:val="5F79FBB8"/>
    <w:rsid w:val="613C5CEA"/>
    <w:rsid w:val="63F7535E"/>
    <w:rsid w:val="667F1D2D"/>
    <w:rsid w:val="67FF0DA4"/>
    <w:rsid w:val="6D3F0546"/>
    <w:rsid w:val="6E7C2AEA"/>
    <w:rsid w:val="6F75E4AA"/>
    <w:rsid w:val="6F7B2517"/>
    <w:rsid w:val="6F7EA89A"/>
    <w:rsid w:val="6F7F01B4"/>
    <w:rsid w:val="6FBB5DA8"/>
    <w:rsid w:val="735B2F08"/>
    <w:rsid w:val="73B58C75"/>
    <w:rsid w:val="75EFE144"/>
    <w:rsid w:val="76B70BC6"/>
    <w:rsid w:val="777F8C52"/>
    <w:rsid w:val="77D40AD8"/>
    <w:rsid w:val="7A8FD646"/>
    <w:rsid w:val="7B6F5C1C"/>
    <w:rsid w:val="7B7FAD11"/>
    <w:rsid w:val="7CEFA60F"/>
    <w:rsid w:val="7D77A87C"/>
    <w:rsid w:val="7DF7DFB5"/>
    <w:rsid w:val="7DFD9FFC"/>
    <w:rsid w:val="7EBFA969"/>
    <w:rsid w:val="7EEF3748"/>
    <w:rsid w:val="7EFFB152"/>
    <w:rsid w:val="7FD9B923"/>
    <w:rsid w:val="7FFB976A"/>
    <w:rsid w:val="7FFBD813"/>
    <w:rsid w:val="9BFE10F3"/>
    <w:rsid w:val="9DDDEE40"/>
    <w:rsid w:val="9EBAAA17"/>
    <w:rsid w:val="9EFB1DBC"/>
    <w:rsid w:val="9FEF47E2"/>
    <w:rsid w:val="A56FBF80"/>
    <w:rsid w:val="A7FF5956"/>
    <w:rsid w:val="ABF7465E"/>
    <w:rsid w:val="AE7AEC25"/>
    <w:rsid w:val="AE7BF738"/>
    <w:rsid w:val="AEF3FEE5"/>
    <w:rsid w:val="AFFF9780"/>
    <w:rsid w:val="BA3B578F"/>
    <w:rsid w:val="BD766961"/>
    <w:rsid w:val="BDFFD108"/>
    <w:rsid w:val="BE728728"/>
    <w:rsid w:val="BFDDD6C2"/>
    <w:rsid w:val="BFFF6F53"/>
    <w:rsid w:val="CF9FC517"/>
    <w:rsid w:val="CFED15A6"/>
    <w:rsid w:val="D5FB14F4"/>
    <w:rsid w:val="DDEB25EA"/>
    <w:rsid w:val="DE8F95E3"/>
    <w:rsid w:val="DFFF678F"/>
    <w:rsid w:val="E3B9D2AE"/>
    <w:rsid w:val="E5AB6668"/>
    <w:rsid w:val="E7AF1E2A"/>
    <w:rsid w:val="E7EAC5F3"/>
    <w:rsid w:val="EB795490"/>
    <w:rsid w:val="EBBF6C5A"/>
    <w:rsid w:val="EBFF8C0D"/>
    <w:rsid w:val="ED2F72E3"/>
    <w:rsid w:val="EFC94195"/>
    <w:rsid w:val="EFF7C58E"/>
    <w:rsid w:val="EFFEA964"/>
    <w:rsid w:val="F3EFDE8F"/>
    <w:rsid w:val="F7EF7D90"/>
    <w:rsid w:val="F7EF881A"/>
    <w:rsid w:val="F7F737E9"/>
    <w:rsid w:val="F7FB4CAC"/>
    <w:rsid w:val="F7FC344C"/>
    <w:rsid w:val="FA55D77A"/>
    <w:rsid w:val="FA5FED05"/>
    <w:rsid w:val="FAAF53E5"/>
    <w:rsid w:val="FBAF4F69"/>
    <w:rsid w:val="FBB3A364"/>
    <w:rsid w:val="FBEF99BE"/>
    <w:rsid w:val="FCBDEFAE"/>
    <w:rsid w:val="FDBA9694"/>
    <w:rsid w:val="FDBFB375"/>
    <w:rsid w:val="FDEE88C8"/>
    <w:rsid w:val="FEE7E934"/>
    <w:rsid w:val="FEEF726A"/>
    <w:rsid w:val="FEF75492"/>
    <w:rsid w:val="FF4DA749"/>
    <w:rsid w:val="FF643FE4"/>
    <w:rsid w:val="FF6F7FE2"/>
    <w:rsid w:val="FFC355DD"/>
    <w:rsid w:val="FFEF63D1"/>
    <w:rsid w:val="FFF76532"/>
    <w:rsid w:val="FFFF92C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Heading"/>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5">
    <w:name w:val="Index"/>
    <w:basedOn w:val="1"/>
    <w:qFormat/>
    <w:uiPriority w:val="0"/>
    <w:pPr>
      <w:suppressLineNumbers/>
    </w:pPr>
    <w:rPr>
      <w:rFonts w:cs="Noto Sans Devanagari"/>
    </w:rPr>
  </w:style>
  <w:style w:type="paragraph" w:customStyle="1" w:styleId="16">
    <w:name w:val="caption1"/>
    <w:basedOn w:val="1"/>
    <w:next w:val="1"/>
    <w:qFormat/>
    <w:uiPriority w:val="0"/>
    <w:pPr>
      <w:suppressLineNumbers/>
      <w:spacing w:before="120" w:after="120"/>
    </w:pPr>
    <w:rPr>
      <w:rFonts w:cs="Noto Sans Devanagari"/>
      <w:i/>
      <w:iCs/>
      <w:sz w:val="24"/>
      <w:szCs w:val="24"/>
    </w:rPr>
  </w:style>
  <w:style w:type="paragraph" w:customStyle="1" w:styleId="17">
    <w:name w:val="Header and Footer"/>
    <w:basedOn w:val="1"/>
    <w:qFormat/>
    <w:uiPriority w:val="0"/>
  </w:style>
  <w:style w:type="paragraph" w:customStyle="1" w:styleId="18">
    <w:name w:val="msolistparagraph"/>
    <w:basedOn w:val="1"/>
    <w:qFormat/>
    <w:uiPriority w:val="0"/>
    <w:pPr>
      <w:spacing w:before="0" w:after="200"/>
      <w:ind w:left="720"/>
      <w:contextualSpacing/>
    </w:pPr>
  </w:style>
  <w:style w:type="paragraph" w:customStyle="1" w:styleId="19">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0">
    <w:name w:val="List Paragraph"/>
    <w:basedOn w:val="1"/>
    <w:qFormat/>
    <w:uiPriority w:val="34"/>
    <w:pPr>
      <w:spacing w:before="0" w:after="200"/>
      <w:ind w:left="720"/>
      <w:contextualSpacing/>
    </w:pPr>
    <w:rPr>
      <w:rFonts w:ascii="Calibri" w:hAnsi="Calibri" w:eastAsia="Calibri" w:cs="Times New Roman"/>
    </w:rPr>
  </w:style>
  <w:style w:type="paragraph" w:customStyle="1" w:styleId="21">
    <w:name w:val="Frame Contents"/>
    <w:basedOn w:val="1"/>
    <w:qFormat/>
    <w:uiPriority w:val="0"/>
  </w:style>
  <w:style w:type="paragraph" w:customStyle="1" w:styleId="22">
    <w:name w:val="Table Contents"/>
    <w:basedOn w:val="1"/>
    <w:qFormat/>
    <w:uiPriority w:val="0"/>
    <w:pPr>
      <w:widowControl w:val="0"/>
      <w:suppressLineNumbers/>
    </w:pPr>
  </w:style>
  <w:style w:type="paragraph" w:customStyle="1" w:styleId="23">
    <w:name w:val="Table Heading"/>
    <w:basedOn w:val="22"/>
    <w:qFormat/>
    <w:uiPriority w:val="0"/>
    <w:pPr>
      <w:suppressLineNumbers/>
      <w:jc w:val="center"/>
    </w:pPr>
    <w:rPr>
      <w:b/>
      <w:bCs/>
    </w:rPr>
  </w:style>
  <w:style w:type="paragraph" w:customStyle="1" w:styleId="24">
    <w:name w:val="Preformatted Text"/>
    <w:basedOn w:val="1"/>
    <w:qFormat/>
    <w:uiPriority w:val="0"/>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1676</Words>
  <Characters>9635</Characters>
  <Paragraphs>95</Paragraphs>
  <TotalTime>0</TotalTime>
  <ScaleCrop>false</ScaleCrop>
  <LinksUpToDate>false</LinksUpToDate>
  <CharactersWithSpaces>11951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2026-09-23T16:07:32Z</dcterms:modified>
  <dc:title>CONTRAT DE PRET</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