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hint="default" w:ascii="Times New Roman" w:hAnsi="Times New Roman" w:cs="Times New Roman"/>
          <w:b/>
          <w:sz w:val="28"/>
          <w:szCs w:val="28"/>
          <w:bdr w:val="dashDotStroked" w:color="auto" w:sz="24" w:space="0"/>
        </w:rPr>
      </w:pPr>
      <w:r>
        <w:rPr>
          <w:rFonts w:hint="default" w:ascii="Times New Roman" w:hAnsi="Times New Roman" w:cs="Times New Roman"/>
          <w:b/>
          <w:sz w:val="28"/>
          <w:szCs w:val="28"/>
          <w:bdr w:val="dashDotStroked" w:color="auto" w:sz="24" w:space="0"/>
        </w:rPr>
        <w:t>CONTRAT DE PRET</w:t>
      </w:r>
    </w:p>
    <w:p>
      <w:pPr>
        <w:spacing w:line="240" w:lineRule="auto"/>
        <w:jc w:val="both"/>
        <w:rPr>
          <w:rFonts w:hint="default" w:ascii="Times New Roman" w:hAnsi="Times New Roman" w:cs="Times New Roman"/>
          <w:b/>
          <w:bCs/>
          <w:highlight w:val="none"/>
          <w:u w:val="single"/>
        </w:rPr>
      </w:pP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u w:val="single"/>
        </w:rPr>
        <w:t xml:space="preserve">ENTRE-LES SOUSSIGNES : </w:t>
      </w:r>
    </w:p>
    <w:p>
      <w:pPr>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500 000 000 FCFA, immatriculée au Registre du Commerce et du Crédit Mobilier du TOGO, sous le numéro initial </w:t>
      </w:r>
      <w:r>
        <w:rPr>
          <w:rFonts w:hint="default" w:ascii="Times New Roman" w:hAnsi="Times New Roman" w:cs="Times New Roman"/>
          <w:color w:val="000000"/>
          <w:sz w:val="24"/>
          <w:szCs w:val="24"/>
        </w:rPr>
        <w:t>TG-LFW-01-2022-44-0713, Agrément Numéro 36/MF/SG/CAS-IMEC et inscrite sur la liste de l’APSFD sous le numéro T/1/GFLM/2019/257A</w:t>
      </w:r>
      <w:bookmarkStart w:id="10" w:name="_GoBack"/>
      <w:bookmarkEnd w:id="10"/>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jc w:val="both"/>
        <w:rPr>
          <w:rFonts w:hint="default" w:ascii="Times New Roman" w:hAnsi="Times New Roman" w:cs="Times New Roman"/>
          <w:sz w:val="24"/>
          <w:szCs w:val="24"/>
          <w:highlight w:val="none"/>
          <w:lang w:val="en-US"/>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 xml:space="preserve">Monsieur </w:t>
      </w:r>
      <w:r>
        <w:rPr>
          <w:rFonts w:hint="default" w:ascii="Times New Roman" w:hAnsi="Times New Roman" w:cs="Times New Roman"/>
          <w:b/>
          <w:bCs/>
          <w:iCs/>
          <w:sz w:val="24"/>
          <w:szCs w:val="24"/>
          <w:highlight w:val="none"/>
        </w:rPr>
        <w:t>Pascal KOVE</w:t>
      </w:r>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highlight w:val="none"/>
        </w:rPr>
        <w:t xml:space="preserve">, vertu d’un acte reçu par </w:t>
      </w:r>
      <w:r>
        <w:rPr>
          <w:rFonts w:hint="default" w:ascii="Times New Roman" w:hAnsi="Times New Roman" w:cs="Times New Roman"/>
          <w:bCs/>
          <w:iCs/>
          <w:color w:val="111111"/>
          <w:sz w:val="24"/>
          <w:szCs w:val="24"/>
          <w:highlight w:val="none"/>
        </w:rPr>
        <w:t>Me Afiavi S. do REGO-d’Almeida, Notaire à Lomé</w:t>
      </w:r>
      <w:r>
        <w:rPr>
          <w:rFonts w:hint="default" w:ascii="Times New Roman" w:hAnsi="Times New Roman" w:cs="Times New Roman"/>
          <w:bCs/>
          <w:iCs/>
          <w:color w:val="111111"/>
          <w:sz w:val="24"/>
          <w:szCs w:val="24"/>
          <w:highlight w:val="none"/>
          <w:lang w:val="en-US"/>
        </w:rPr>
        <w:t>,</w:t>
      </w:r>
    </w:p>
    <w:p>
      <w:pPr>
        <w:ind w:right="-141"/>
        <w:jc w:val="right"/>
        <w:rPr>
          <w:rFonts w:hint="default" w:ascii="Times New Roman" w:hAnsi="Times New Roman" w:cs="Times New Roman"/>
          <w:i/>
          <w:iCs/>
          <w:sz w:val="24"/>
          <w:szCs w:val="24"/>
          <w:highlight w:val="none"/>
        </w:rPr>
      </w:pPr>
      <w:r>
        <w:rPr>
          <w:rFonts w:hint="default" w:ascii="Times New Roman" w:hAnsi="Times New Roman" w:cs="Times New Roman"/>
          <w:sz w:val="24"/>
          <w:szCs w:val="24"/>
          <w:highlight w:val="none"/>
        </w:rPr>
        <w:t xml:space="preserve">Ci-après dénommée « </w:t>
      </w:r>
      <w:r>
        <w:rPr>
          <w:rFonts w:hint="default" w:ascii="Times New Roman" w:hAnsi="Times New Roman" w:cs="Times New Roman"/>
          <w:b/>
          <w:bCs/>
          <w:sz w:val="24"/>
          <w:szCs w:val="24"/>
          <w:highlight w:val="none"/>
        </w:rPr>
        <w:t xml:space="preserve">COFINA TOGO SA », </w:t>
      </w:r>
      <w:r>
        <w:rPr>
          <w:rFonts w:hint="default" w:ascii="Times New Roman" w:hAnsi="Times New Roman" w:cs="Times New Roman"/>
          <w:b/>
          <w:bCs/>
          <w:i/>
          <w:iCs/>
          <w:sz w:val="24"/>
          <w:szCs w:val="24"/>
          <w:highlight w:val="none"/>
        </w:rPr>
        <w:t>d’une part</w:t>
      </w:r>
      <w:r>
        <w:rPr>
          <w:rFonts w:hint="default" w:ascii="Times New Roman" w:hAnsi="Times New Roman" w:cs="Times New Roman"/>
          <w:i/>
          <w:iCs/>
          <w:sz w:val="24"/>
          <w:szCs w:val="24"/>
          <w:highlight w:val="none"/>
        </w:rPr>
        <w: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b w:val="0"/>
          <w:bCs w:val="0"/>
          <w:sz w:val="24"/>
          <w:szCs w:val="24"/>
          <w:highlight w:val="none"/>
        </w:rPr>
        <w:t xml:space="preserve">${company.denomination} </w:t>
      </w:r>
      <w:r>
        <w:rPr>
          <w:rFonts w:hint="default" w:ascii="Times New Roman" w:hAnsi="Times New Roman" w:cs="Times New Roman"/>
          <w:b w:val="0"/>
          <w:bCs w:val="0"/>
          <w:sz w:val="24"/>
          <w:szCs w:val="24"/>
          <w:highlight w:val="none"/>
          <w:lang w:val="en-US"/>
        </w:rPr>
        <w:t>${company.legal_status}</w:t>
      </w:r>
      <w:r>
        <w:rPr>
          <w:rFonts w:hint="default" w:ascii="Times New Roman" w:hAnsi="Times New Roman" w:cs="Times New Roman"/>
          <w:b w:val="0"/>
          <w:bCs w:val="0"/>
          <w:sz w:val="24"/>
          <w:szCs w:val="24"/>
          <w:highlight w:val="none"/>
        </w:rPr>
        <w:t xml:space="preserve"> dont le siège social est à </w:t>
      </w:r>
      <w:r>
        <w:rPr>
          <w:rFonts w:hint="default" w:ascii="Times New Roman" w:hAnsi="Times New Roman" w:cs="Times New Roman"/>
          <w:b w:val="0"/>
          <w:bCs w:val="0"/>
          <w:sz w:val="24"/>
          <w:szCs w:val="24"/>
          <w:highlight w:val="none"/>
          <w:lang w:val="en-US"/>
        </w:rPr>
        <w:t>${company.head_office_address}</w:t>
      </w:r>
      <w:r>
        <w:rPr>
          <w:rFonts w:hint="default" w:ascii="Times New Roman" w:hAnsi="Times New Roman" w:cs="Times New Roman"/>
          <w:b w:val="0"/>
          <w:bCs w:val="0"/>
          <w:sz w:val="24"/>
          <w:szCs w:val="24"/>
          <w:highlight w:val="none"/>
        </w:rPr>
        <w:t xml:space="preserve">, immatriculée sous le registre du Commerce et du Crédit Mobilier de Lomé, sous le numéro </w:t>
      </w:r>
      <w:r>
        <w:rPr>
          <w:rFonts w:hint="default" w:ascii="Times New Roman" w:hAnsi="Times New Roman" w:cs="Times New Roman"/>
          <w:b w:val="0"/>
          <w:bCs w:val="0"/>
          <w:sz w:val="24"/>
          <w:szCs w:val="24"/>
          <w:highlight w:val="none"/>
          <w:lang w:val="en-US"/>
        </w:rPr>
        <w:t>${company.rccm_number}</w:t>
      </w:r>
      <w:r>
        <w:rPr>
          <w:rFonts w:hint="default" w:ascii="Times New Roman" w:hAnsi="Times New Roman" w:cs="Times New Roman"/>
          <w:b w:val="0"/>
          <w:bCs w:val="0"/>
          <w:sz w:val="24"/>
          <w:szCs w:val="24"/>
          <w:highlight w:val="none"/>
        </w:rPr>
        <w:t xml:space="preserve"> représenté par son responsable </w:t>
      </w:r>
      <w:r>
        <w:rPr>
          <w:rFonts w:hint="default" w:ascii="Times New Roman" w:hAnsi="Times New Roman" w:cs="Times New Roman"/>
          <w:b w:val="0"/>
          <w:bCs w:val="0"/>
          <w:sz w:val="24"/>
          <w:szCs w:val="24"/>
          <w:highlight w:val="none"/>
          <w:shd w:val="clear" w:fill="auto"/>
        </w:rPr>
        <w:t>${verbal_trial.</w:t>
      </w:r>
      <w:r>
        <w:rPr>
          <w:rFonts w:hint="default" w:ascii="Times New Roman" w:hAnsi="Times New Roman" w:cs="Times New Roman"/>
          <w:b w:val="0"/>
          <w:bCs w:val="0"/>
          <w:sz w:val="24"/>
          <w:szCs w:val="24"/>
          <w:highlight w:val="none"/>
          <w:shd w:val="clear" w:fill="auto"/>
          <w:lang w:val="en-US"/>
        </w:rPr>
        <w:t>civility</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val="0"/>
          <w:bCs w:val="0"/>
          <w:sz w:val="24"/>
          <w:szCs w:val="24"/>
          <w:highlight w:val="none"/>
          <w:shd w:val="clear" w:fill="auto"/>
          <w:lang w:val="en-US"/>
        </w:rPr>
        <w:t xml:space="preserve"> </w:t>
      </w:r>
      <w:r>
        <w:rPr>
          <w:rFonts w:hint="default" w:ascii="Times New Roman" w:hAnsi="Times New Roman" w:cs="Times New Roman"/>
          <w:b w:val="0"/>
          <w:bCs w:val="0"/>
          <w:sz w:val="24"/>
          <w:szCs w:val="24"/>
          <w:highlight w:val="none"/>
          <w:shd w:val="clear" w:fill="auto"/>
        </w:rPr>
        <w:t>${verbal_trial.applicant_last_name} ${verbal_trial.applicant_first_name} née le ${representative_birth_date</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bCs/>
          <w:sz w:val="24"/>
          <w:szCs w:val="24"/>
          <w:highlight w:val="none"/>
          <w:shd w:val="clear" w:fill="auto"/>
        </w:rPr>
        <w:t xml:space="preserve"> </w:t>
      </w:r>
      <w:r>
        <w:rPr>
          <w:rFonts w:hint="default" w:ascii="Times New Roman" w:hAnsi="Times New Roman" w:cs="Times New Roman"/>
          <w:b w:val="0"/>
          <w:bCs w:val="0"/>
          <w:sz w:val="24"/>
          <w:szCs w:val="24"/>
          <w:highlight w:val="none"/>
          <w:shd w:val="clear" w:fill="auto"/>
        </w:rPr>
        <w:t>Tél : $</w:t>
      </w:r>
      <w:r>
        <w:rPr>
          <w:rFonts w:hint="default" w:ascii="Times New Roman" w:hAnsi="Times New Roman" w:cs="Times New Roman"/>
          <w:b w:val="0"/>
          <w:bCs w:val="0"/>
          <w:sz w:val="24"/>
          <w:szCs w:val="24"/>
          <w:highlight w:val="none"/>
          <w:shd w:val="clear" w:fill="auto"/>
          <w:lang w:val="en-US"/>
        </w:rPr>
        <w:t>{representative_</w:t>
      </w:r>
      <w:r>
        <w:rPr>
          <w:rFonts w:hint="default" w:ascii="Times New Roman" w:hAnsi="Times New Roman" w:cs="Times New Roman"/>
          <w:b w:val="0"/>
          <w:bCs w:val="0"/>
          <w:sz w:val="24"/>
          <w:szCs w:val="24"/>
          <w:highlight w:val="none"/>
          <w:shd w:val="clear" w:fill="auto"/>
        </w:rPr>
        <w:t>phone_number}</w:t>
      </w:r>
      <w:r>
        <w:rPr>
          <w:rFonts w:hint="default" w:ascii="Times New Roman" w:hAnsi="Times New Roman" w:cs="Times New Roman"/>
          <w:b w:val="0"/>
          <w:bCs w:val="0"/>
          <w:sz w:val="24"/>
          <w:szCs w:val="24"/>
          <w:highlight w:val="none"/>
        </w:rPr>
        <w:t>, ayant pleins pouvoirs à l’effet des présentes,</w:t>
      </w:r>
      <w:r>
        <w:rPr>
          <w:rFonts w:hint="default" w:ascii="Times New Roman" w:hAnsi="Times New Roman" w:cs="Times New Roman"/>
          <w:b/>
          <w:bCs/>
          <w:sz w:val="24"/>
          <w:szCs w:val="24"/>
          <w:highlight w:val="none"/>
        </w:rPr>
        <w:t xml:space="preserve"> Tél : </w:t>
      </w:r>
      <w:r>
        <w:rPr>
          <w:rFonts w:hint="default" w:ascii="Times New Roman" w:hAnsi="Times New Roman" w:cs="Times New Roman"/>
          <w:b/>
          <w:bCs/>
          <w:sz w:val="24"/>
          <w:szCs w:val="24"/>
          <w:highlight w:val="none"/>
          <w:lang w:val="en-US"/>
        </w:rPr>
        <w:t>${company.phone_number}</w:t>
      </w:r>
    </w:p>
    <w:p>
      <w:pPr>
        <w:spacing w:line="240" w:lineRule="auto"/>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désigné(e) « l’Emprunteur »</w:t>
      </w:r>
    </w:p>
    <w:p>
      <w:pPr>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Sous réserve de la réalisation des conditions préalables visées à I'article </w:t>
      </w:r>
      <w:r>
        <w:rPr>
          <w:rFonts w:hint="default" w:ascii="Times New Roman" w:hAnsi="Times New Roman" w:cs="Times New Roman"/>
          <w:sz w:val="24"/>
          <w:szCs w:val="24"/>
          <w:highlight w:val="none"/>
          <w:lang w:val="en-US"/>
        </w:rPr>
        <w:t>9</w:t>
      </w:r>
      <w:r>
        <w:rPr>
          <w:rFonts w:hint="default" w:ascii="Times New Roman" w:hAnsi="Times New Roman" w:cs="Times New Roman"/>
          <w:sz w:val="24"/>
          <w:szCs w:val="24"/>
          <w:highlight w:val="none"/>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highlight w:val="none"/>
          <w:shd w:val="clear" w:fill="auto"/>
        </w:rPr>
        <w:t>${verbal_trial.type_of_credit.name}</w:t>
      </w:r>
      <w:r>
        <w:rPr>
          <w:rFonts w:hint="default" w:ascii="Times New Roman" w:hAnsi="Times New Roman" w:cs="Times New Roman"/>
          <w:sz w:val="24"/>
          <w:szCs w:val="24"/>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3</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w:t>
      </w:r>
      <w:bookmarkEnd w:id="2"/>
      <w:bookmarkEnd w:id="3"/>
      <w:bookmarkEnd w:id="4"/>
      <w:r>
        <w:rPr>
          <w:rFonts w:hint="default" w:ascii="Times New Roman" w:hAnsi="Times New Roman" w:cs="Times New Roman"/>
          <w:sz w:val="24"/>
          <w:szCs w:val="24"/>
          <w:shd w:val="clear" w:fill="auto"/>
        </w:rPr>
        <w:t xml:space="preserve">${number_of_due_dates} </w:t>
      </w:r>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de</w:t>
      </w:r>
      <w:r>
        <w:rPr>
          <w:rFonts w:hint="default" w:ascii="Times New Roman" w:hAnsi="Times New Roman" w:cs="Times New Roman"/>
          <w:b/>
          <w:sz w:val="24"/>
          <w:szCs w:val="24"/>
          <w:shd w:val="clear" w:fill="auto"/>
          <w:lang w:val="en-US"/>
        </w:rPr>
        <w:t xml:space="preserve"> ${deferred_amount} (${deferred_amount.fr}) F CFA ${number_deferred_fr} et</w:t>
      </w:r>
      <w:r>
        <w:rPr>
          <w:rFonts w:hint="default" w:ascii="Times New Roman" w:hAnsi="Times New Roman" w:cs="Times New Roman"/>
          <w:b/>
          <w:sz w:val="24"/>
          <w:szCs w:val="24"/>
          <w:shd w:val="clear" w:fill="auto"/>
        </w:rPr>
        <w:t xml:space="preserve"> </w:t>
      </w:r>
      <w:bookmarkEnd w:id="5"/>
      <w:bookmarkEnd w:id="6"/>
      <w:r>
        <w:rPr>
          <w:rFonts w:hint="default" w:ascii="Times New Roman" w:hAnsi="Times New Roman" w:cs="Times New Roman"/>
          <w:b/>
          <w:sz w:val="24"/>
          <w:szCs w:val="24"/>
          <w:shd w:val="clear" w:fill="auto"/>
        </w:rPr>
        <w:t xml:space="preserve">${due_amount} (${due_amount.fr}) F CFA </w:t>
      </w:r>
      <w:r>
        <w:rPr>
          <w:rFonts w:hint="default" w:ascii="Times New Roman" w:hAnsi="Times New Roman" w:cs="Times New Roman"/>
          <w:b/>
          <w:sz w:val="24"/>
          <w:szCs w:val="24"/>
          <w:shd w:val="clear" w:fill="auto"/>
          <w:lang w:val="en-US"/>
        </w:rPr>
        <w:t>${verbal_trial.periodicity.fr2} restant</w:t>
      </w:r>
      <w:r>
        <w:rPr>
          <w:rFonts w:hint="default" w:ascii="Times New Roman" w:hAnsi="Times New Roman" w:cs="Times New Roman"/>
          <w:b/>
          <w:sz w:val="24"/>
          <w:szCs w:val="24"/>
          <w:shd w:val="clear" w:fill="auto"/>
        </w:rPr>
        <w:t xml:space="preserve">. </w:t>
      </w:r>
    </w:p>
    <w:p>
      <w:pP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6</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 xml:space="preserve">Intérêts et mode de remboursement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.1 </w:t>
      </w:r>
      <w:r>
        <w:rPr>
          <w:rFonts w:hint="default" w:ascii="Times New Roman" w:hAnsi="Times New Roman" w:cs="Times New Roman"/>
          <w:b/>
          <w:bCs/>
          <w:sz w:val="24"/>
          <w:szCs w:val="24"/>
          <w:highlight w:val="none"/>
          <w:u w:val="single"/>
        </w:rPr>
        <w:t xml:space="preserve">Intérêts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sz w:val="24"/>
          <w:szCs w:val="24"/>
          <w:highlight w:val="none"/>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 ci-dessous.</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.2 Mode de remboursement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(soit l’échéance mensuelle divisé par 20)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Article </w:t>
      </w:r>
      <w:r>
        <w:rPr>
          <w:rFonts w:hint="default" w:ascii="Times New Roman" w:hAnsi="Times New Roman" w:cs="Times New Roman"/>
          <w:b/>
          <w:sz w:val="24"/>
          <w:szCs w:val="24"/>
          <w:highlight w:val="none"/>
          <w:lang w:val="en-US"/>
        </w:rPr>
        <w:t>7</w:t>
      </w:r>
      <w:r>
        <w:rPr>
          <w:rFonts w:hint="default" w:ascii="Times New Roman" w:hAnsi="Times New Roman" w:cs="Times New Roman"/>
          <w:b/>
          <w:sz w:val="24"/>
          <w:szCs w:val="24"/>
          <w:highlight w:val="none"/>
        </w:rPr>
        <w:t xml:space="preserve"> : </w:t>
      </w:r>
      <w:r>
        <w:rPr>
          <w:rFonts w:hint="default" w:ascii="Times New Roman" w:hAnsi="Times New Roman" w:cs="Times New Roman"/>
          <w:b/>
          <w:sz w:val="24"/>
          <w:szCs w:val="24"/>
          <w:highlight w:val="none"/>
          <w:u w:val="single"/>
        </w:rPr>
        <w:t>Principal</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 xml:space="preserve"> ci-dessus.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.2 Le taux d'intérêt appliqué sera majoré de 0,3% de l'échéance due plus un montant de 1000F forfaitaire. Il sera appliqué dès le 1er jour de retard, étant considéré que dès le 1er jour, le mois entier sera dû</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10</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Externalisation du recouvrement</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L'emprunteur autorise L’institution à communiquer à ce prestataire toutes les informations nécessaires à la gestion du recouvrement, y compris ses coordonnées et les détails du crédit, conformément aux règles de confidentialité et protection des données personnelles. </w:t>
      </w:r>
    </w:p>
    <w:p>
      <w:pPr>
        <w:tabs>
          <w:tab w:val="left" w:pos="3660"/>
        </w:tabs>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11</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Exigibilité anticipée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décès du Client,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highlight w:val="none"/>
        </w:rPr>
      </w:pP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Article 1</w:t>
      </w:r>
      <w:r>
        <w:rPr>
          <w:rFonts w:hint="default" w:ascii="Times New Roman" w:hAnsi="Times New Roman" w:cs="Times New Roman"/>
          <w:b/>
          <w:bCs/>
          <w:sz w:val="24"/>
          <w:szCs w:val="24"/>
          <w:highlight w:val="none"/>
          <w:lang w:val="en-US"/>
        </w:rPr>
        <w:t>3</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Report d’échéance</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4</w:t>
      </w:r>
      <w:r>
        <w:rPr>
          <w:rFonts w:hint="default" w:ascii="Times New Roman" w:hAnsi="Times New Roman" w:cs="Times New Roman"/>
          <w:b/>
          <w:sz w:val="24"/>
          <w:szCs w:val="24"/>
          <w:highlight w:val="none"/>
        </w:rPr>
        <w:t>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pacing w:line="240" w:lineRule="auto"/>
        <w:jc w:val="both"/>
        <w:rPr>
          <w:rFonts w:hint="default" w:ascii="Times New Roman" w:hAnsi="Times New Roman" w:cs="Times New Roman"/>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6</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16</w:t>
      </w:r>
      <w:r>
        <w:rPr>
          <w:rFonts w:hint="default" w:ascii="Times New Roman" w:hAnsi="Times New Roman" w:cs="Times New Roman"/>
          <w:sz w:val="24"/>
          <w:szCs w:val="24"/>
          <w:highlight w:val="none"/>
        </w:rPr>
        <w:t>.1 Le Contrat est régi par le droit Togolais.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jc w:val="cente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p>
    <w:p>
      <w:pPr>
        <w:rPr>
          <w:rFonts w:hint="default" w:ascii="Times New Roman" w:hAnsi="Times New Roman" w:cs="Times New Roman"/>
          <w:b/>
          <w:bCs/>
          <w:iCs/>
          <w:sz w:val="24"/>
          <w:szCs w:val="24"/>
          <w:highlight w:val="none"/>
        </w:rPr>
      </w:pPr>
      <w:r>
        <w:rPr>
          <w:rFonts w:hint="default" w:ascii="Times New Roman" w:hAnsi="Times New Roman" w:cs="Times New Roman"/>
          <w:bCs/>
          <w:iCs/>
          <w:sz w:val="24"/>
          <w:szCs w:val="24"/>
          <w:highlight w:val="none"/>
        </w:rPr>
        <w:t xml:space="preserve">                                   </w:t>
      </w: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highlight w:val="none"/>
          <w:shd w:val="clear" w:fill="auto"/>
        </w:rPr>
        <w:t xml:space="preserve">Pour le Client </w:t>
      </w:r>
    </w:p>
    <w:p>
      <w:pPr>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${company.denomination}</w:t>
      </w:r>
    </w:p>
    <w:bookmarkEnd w:id="9"/>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bCs w:val="0"/>
          <w:sz w:val="24"/>
          <w:szCs w:val="24"/>
          <w:highlight w:val="none"/>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${company.denomination}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BC127"/>
    <w:multiLevelType w:val="multilevel"/>
    <w:tmpl w:val="9FFBC127"/>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08"/>
  <w:autoHyphenation/>
  <w:footnotePr>
    <w:footnote w:id="0"/>
    <w:footnote w:id="1"/>
  </w:footnotePr>
  <w:endnotePr>
    <w:endnote w:id="0"/>
    <w:endnote w:id="1"/>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5BFB96D"/>
    <w:rsid w:val="147BB914"/>
    <w:rsid w:val="1973F31C"/>
    <w:rsid w:val="1FB2C1BD"/>
    <w:rsid w:val="1FDB046A"/>
    <w:rsid w:val="1FED8918"/>
    <w:rsid w:val="275380D8"/>
    <w:rsid w:val="30DD53FD"/>
    <w:rsid w:val="36CFC5D8"/>
    <w:rsid w:val="39FA04C4"/>
    <w:rsid w:val="3F33D107"/>
    <w:rsid w:val="3FD70C7C"/>
    <w:rsid w:val="3FEE4DEC"/>
    <w:rsid w:val="44647091"/>
    <w:rsid w:val="4DE5DE0B"/>
    <w:rsid w:val="53DF964A"/>
    <w:rsid w:val="55EE49DA"/>
    <w:rsid w:val="573CB4F2"/>
    <w:rsid w:val="5BFF754C"/>
    <w:rsid w:val="5DFF336E"/>
    <w:rsid w:val="5EF54878"/>
    <w:rsid w:val="5F4B5793"/>
    <w:rsid w:val="5F77A3CD"/>
    <w:rsid w:val="5F79FBB8"/>
    <w:rsid w:val="613C5CEA"/>
    <w:rsid w:val="63F7535E"/>
    <w:rsid w:val="667F1D2D"/>
    <w:rsid w:val="676E1C11"/>
    <w:rsid w:val="67FF0DA4"/>
    <w:rsid w:val="6D3F0546"/>
    <w:rsid w:val="6E7C2AEA"/>
    <w:rsid w:val="6F7B2517"/>
    <w:rsid w:val="6F7EA89A"/>
    <w:rsid w:val="6FFB3FA9"/>
    <w:rsid w:val="735B2F08"/>
    <w:rsid w:val="73B58C75"/>
    <w:rsid w:val="73FFCA98"/>
    <w:rsid w:val="75EFE144"/>
    <w:rsid w:val="75FF283F"/>
    <w:rsid w:val="77292DDA"/>
    <w:rsid w:val="777F8C52"/>
    <w:rsid w:val="7B6F5C1C"/>
    <w:rsid w:val="7B7FAD11"/>
    <w:rsid w:val="7C5FBEBF"/>
    <w:rsid w:val="7D77A87C"/>
    <w:rsid w:val="7DF7DFB5"/>
    <w:rsid w:val="7DFD9739"/>
    <w:rsid w:val="7DFD9FFC"/>
    <w:rsid w:val="7EBFA969"/>
    <w:rsid w:val="7EEF3748"/>
    <w:rsid w:val="7EFFB152"/>
    <w:rsid w:val="7F3FA9FE"/>
    <w:rsid w:val="7FD9B923"/>
    <w:rsid w:val="7FFB976A"/>
    <w:rsid w:val="7FFBD813"/>
    <w:rsid w:val="993D1649"/>
    <w:rsid w:val="9BFE10F3"/>
    <w:rsid w:val="9DDDEE40"/>
    <w:rsid w:val="9EFB1DBC"/>
    <w:rsid w:val="9FEF47E2"/>
    <w:rsid w:val="A3DF9A0C"/>
    <w:rsid w:val="A56FBF80"/>
    <w:rsid w:val="A7FF5956"/>
    <w:rsid w:val="ABF7465E"/>
    <w:rsid w:val="AE7BF738"/>
    <w:rsid w:val="AEDBC513"/>
    <w:rsid w:val="AEF3FEE5"/>
    <w:rsid w:val="AFFF9780"/>
    <w:rsid w:val="B99F127F"/>
    <w:rsid w:val="BA3B578F"/>
    <w:rsid w:val="BD766961"/>
    <w:rsid w:val="BDFAF947"/>
    <w:rsid w:val="BDFFD108"/>
    <w:rsid w:val="BFDDD6C2"/>
    <w:rsid w:val="CF9FC517"/>
    <w:rsid w:val="CFED15A6"/>
    <w:rsid w:val="D5FB14F4"/>
    <w:rsid w:val="DDEB25EA"/>
    <w:rsid w:val="E3B9D2AE"/>
    <w:rsid w:val="E5AB6668"/>
    <w:rsid w:val="E7AF1E2A"/>
    <w:rsid w:val="E7EAC5F3"/>
    <w:rsid w:val="EB795490"/>
    <w:rsid w:val="EBBF6C5A"/>
    <w:rsid w:val="EBFF8C0D"/>
    <w:rsid w:val="ED2F72E3"/>
    <w:rsid w:val="EFC94195"/>
    <w:rsid w:val="EFFEA964"/>
    <w:rsid w:val="F3EFDE8F"/>
    <w:rsid w:val="F7EF881A"/>
    <w:rsid w:val="F7F737E9"/>
    <w:rsid w:val="F7FB4CAC"/>
    <w:rsid w:val="F7FC344C"/>
    <w:rsid w:val="FA55D77A"/>
    <w:rsid w:val="FA5FED05"/>
    <w:rsid w:val="FAAF53E5"/>
    <w:rsid w:val="FBAF4F69"/>
    <w:rsid w:val="FBB3A364"/>
    <w:rsid w:val="FBEF99BE"/>
    <w:rsid w:val="FCBDEFAE"/>
    <w:rsid w:val="FDBA9694"/>
    <w:rsid w:val="FDBFB375"/>
    <w:rsid w:val="FDEE88C8"/>
    <w:rsid w:val="FEE7E934"/>
    <w:rsid w:val="FEEF726A"/>
    <w:rsid w:val="FEF75492"/>
    <w:rsid w:val="FF4DA749"/>
    <w:rsid w:val="FF643FE4"/>
    <w:rsid w:val="FF6F7FE2"/>
    <w:rsid w:val="FFC355DD"/>
    <w:rsid w:val="FFEF63D1"/>
    <w:rsid w:val="FFF76532"/>
    <w:rsid w:val="FFF7AE93"/>
    <w:rsid w:val="FFFF92C9"/>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2025-02-24T16:02:07Z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