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w:t>
      </w:r>
      <w:r>
        <w:rPr>
          <w:rFonts w:hint="default" w:ascii="Times New Roman" w:hAnsi="Times New Roman" w:cs="Times New Roman"/>
          <w:color w:val="000000"/>
          <w:sz w:val="24"/>
          <w:szCs w:val="24"/>
        </w:rPr>
        <w:t>TG-LFW-01-2022-44-0713, Agrément Numéro 36/MF/SG/CAS-IMEC et inscrite sur la liste de l’APSFD sous le numéro T/1/GFLM/2019/257A</w:t>
      </w:r>
      <w:bookmarkStart w:id="10" w:name="_GoBack"/>
      <w:bookmarkEnd w:id="10"/>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ascii="Times New Roman" w:hAnsi="Times New Roman"/>
          <w:b/>
          <w:bCs/>
          <w:sz w:val="24"/>
          <w:szCs w:val="24"/>
        </w:rPr>
      </w:pPr>
      <w:r>
        <w:rPr>
          <w:rFonts w:ascii="Times New Roman" w:hAnsi="Times New Roman"/>
          <w:b/>
          <w:bCs/>
          <w:sz w:val="24"/>
          <w:szCs w:val="24"/>
        </w:rPr>
        <w:t xml:space="preserve">Article 10 : </w:t>
      </w:r>
      <w:r>
        <w:rPr>
          <w:rFonts w:ascii="Times New Roman" w:hAnsi="Times New Roman"/>
          <w:b/>
          <w:bCs/>
          <w:sz w:val="24"/>
          <w:szCs w:val="24"/>
          <w:u w:val="single"/>
        </w:rPr>
        <w:t>Externalisation du recouvrement</w:t>
      </w:r>
    </w:p>
    <w:p>
      <w:pPr>
        <w:spacing w:line="240" w:lineRule="auto"/>
        <w:jc w:val="both"/>
        <w:rPr>
          <w:rFonts w:ascii="Times New Roman" w:hAnsi="Times New Roman"/>
          <w:sz w:val="24"/>
          <w:szCs w:val="24"/>
        </w:rPr>
      </w:pPr>
      <w:r>
        <w:rPr>
          <w:rFonts w:ascii="Times New Roman" w:hAnsi="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sz w:val="24"/>
          <w:szCs w:val="24"/>
        </w:rPr>
      </w:pPr>
      <w:r>
        <w:rPr>
          <w:rFonts w:ascii="Times New Roman" w:hAnsi="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ascii="Times New Roman" w:hAnsi="Times New Roman"/>
          <w:sz w:val="24"/>
          <w:szCs w:val="24"/>
        </w:rPr>
      </w:pPr>
      <w:r>
        <w:rPr>
          <w:rFonts w:ascii="Times New Roman" w:hAnsi="Times New Roman"/>
          <w:b/>
          <w:sz w:val="24"/>
          <w:szCs w:val="24"/>
        </w:rPr>
        <w:t>Article 11</w:t>
      </w:r>
      <w:r>
        <w:rPr>
          <w:rFonts w:ascii="Times New Roman" w:hAnsi="Times New Roman"/>
          <w:sz w:val="24"/>
          <w:szCs w:val="24"/>
        </w:rPr>
        <w:t xml:space="preserve"> : </w:t>
      </w:r>
      <w:r>
        <w:rPr>
          <w:rFonts w:ascii="Times New Roman" w:hAnsi="Times New Roman"/>
          <w:b/>
          <w:bCs/>
          <w:sz w:val="24"/>
          <w:szCs w:val="24"/>
          <w:u w:val="single"/>
        </w:rPr>
        <w:t>Exigibilité anticipée</w:t>
      </w:r>
    </w:p>
    <w:p>
      <w:pPr>
        <w:spacing w:line="240" w:lineRule="auto"/>
        <w:jc w:val="both"/>
        <w:rPr>
          <w:rFonts w:ascii="Times New Roman" w:hAnsi="Times New Roman"/>
          <w:sz w:val="24"/>
          <w:szCs w:val="24"/>
        </w:rPr>
      </w:pPr>
      <w:r>
        <w:rPr>
          <w:rFonts w:ascii="Times New Roman" w:hAnsi="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décès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exclusion par l’institution Centrale de la signature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affectation du prêt à un objet autre que celui visé à l'article 1 des présentes,</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ascii="Times New Roman" w:hAnsi="Times New Roman"/>
          <w:sz w:val="24"/>
          <w:szCs w:val="24"/>
        </w:rPr>
      </w:pP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57E2252"/>
    <w:rsid w:val="3ADD65B9"/>
    <w:rsid w:val="3BBB595C"/>
    <w:rsid w:val="3E6F7610"/>
    <w:rsid w:val="3FEE4DEC"/>
    <w:rsid w:val="47FD08C0"/>
    <w:rsid w:val="4F3F4729"/>
    <w:rsid w:val="4FEEEDF7"/>
    <w:rsid w:val="51F64081"/>
    <w:rsid w:val="53DF964A"/>
    <w:rsid w:val="55EFB2CF"/>
    <w:rsid w:val="57B19AE0"/>
    <w:rsid w:val="57FF3174"/>
    <w:rsid w:val="5A73A617"/>
    <w:rsid w:val="5BFFDE66"/>
    <w:rsid w:val="5C87D7F5"/>
    <w:rsid w:val="5D3BE83C"/>
    <w:rsid w:val="5E4F3233"/>
    <w:rsid w:val="5F4B5793"/>
    <w:rsid w:val="613C5CEA"/>
    <w:rsid w:val="63F7535E"/>
    <w:rsid w:val="67FE9A6D"/>
    <w:rsid w:val="6BFA45E6"/>
    <w:rsid w:val="6E7C2AEA"/>
    <w:rsid w:val="6ED6DCBE"/>
    <w:rsid w:val="6FCA27F5"/>
    <w:rsid w:val="6FFF13F1"/>
    <w:rsid w:val="727F7ED5"/>
    <w:rsid w:val="72F65C42"/>
    <w:rsid w:val="76FF4360"/>
    <w:rsid w:val="7793F19E"/>
    <w:rsid w:val="77CBB64D"/>
    <w:rsid w:val="77CF8020"/>
    <w:rsid w:val="7ADD242E"/>
    <w:rsid w:val="7B7A5222"/>
    <w:rsid w:val="7B7FAD11"/>
    <w:rsid w:val="7BFFE25A"/>
    <w:rsid w:val="7CF90BB8"/>
    <w:rsid w:val="7D0F43B0"/>
    <w:rsid w:val="7D92DE82"/>
    <w:rsid w:val="7E5F7983"/>
    <w:rsid w:val="7EF9FC19"/>
    <w:rsid w:val="7EFFB152"/>
    <w:rsid w:val="7F3F8EB3"/>
    <w:rsid w:val="7F7F3A55"/>
    <w:rsid w:val="7F9DB5AB"/>
    <w:rsid w:val="7F9F29B1"/>
    <w:rsid w:val="7FBF57B1"/>
    <w:rsid w:val="7FFB976A"/>
    <w:rsid w:val="7FFD4CA0"/>
    <w:rsid w:val="7FFEDB71"/>
    <w:rsid w:val="8CF71905"/>
    <w:rsid w:val="9BFE10F3"/>
    <w:rsid w:val="9EFB1DBC"/>
    <w:rsid w:val="A7FEE587"/>
    <w:rsid w:val="AE7BF738"/>
    <w:rsid w:val="AEF3FEE5"/>
    <w:rsid w:val="AFAB385F"/>
    <w:rsid w:val="B7E7A5E8"/>
    <w:rsid w:val="B98FE0AE"/>
    <w:rsid w:val="BB6E49FC"/>
    <w:rsid w:val="BFAF390D"/>
    <w:rsid w:val="BFBABCE1"/>
    <w:rsid w:val="BFCD41FC"/>
    <w:rsid w:val="BFDDD6C2"/>
    <w:rsid w:val="BFE394D2"/>
    <w:rsid w:val="CF9FC517"/>
    <w:rsid w:val="CFED15A6"/>
    <w:rsid w:val="D6FEF6B9"/>
    <w:rsid w:val="D7372429"/>
    <w:rsid w:val="DCD7AC53"/>
    <w:rsid w:val="DDB34037"/>
    <w:rsid w:val="DFDA34CC"/>
    <w:rsid w:val="E7EAC5F3"/>
    <w:rsid w:val="EBBF6C5A"/>
    <w:rsid w:val="EC3F17AA"/>
    <w:rsid w:val="EDBB45C8"/>
    <w:rsid w:val="EEBDEA66"/>
    <w:rsid w:val="EFE37952"/>
    <w:rsid w:val="EFEE923B"/>
    <w:rsid w:val="EFF7598A"/>
    <w:rsid w:val="F3EFDE8F"/>
    <w:rsid w:val="F3FF2B7E"/>
    <w:rsid w:val="F76F19B2"/>
    <w:rsid w:val="F7CF7613"/>
    <w:rsid w:val="F7F737E9"/>
    <w:rsid w:val="F97F986B"/>
    <w:rsid w:val="FA55D77A"/>
    <w:rsid w:val="FB973334"/>
    <w:rsid w:val="FBB3A364"/>
    <w:rsid w:val="FCFB19F4"/>
    <w:rsid w:val="FDBA9694"/>
    <w:rsid w:val="FDBFB375"/>
    <w:rsid w:val="FDDB36BD"/>
    <w:rsid w:val="FDEB49A0"/>
    <w:rsid w:val="FDFF3ACE"/>
    <w:rsid w:val="FE4BC2C7"/>
    <w:rsid w:val="FF4DA749"/>
    <w:rsid w:val="FF643FE4"/>
    <w:rsid w:val="FF79108E"/>
    <w:rsid w:val="FFC355DD"/>
    <w:rsid w:val="FFCAF70F"/>
    <w:rsid w:val="FFEE9057"/>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2025-02-24T16:01:03Z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