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ascii="Times New Roman" w:hAnsi="Times New Roman" w:cs="Times New Roman"/>
          <w:i/>
          <w:iCs/>
          <w:sz w:val="22"/>
          <w:szCs w:val="22"/>
        </w:rPr>
      </w:pPr>
      <w:r>
        <w:rPr>
          <w:rFonts w:cs="Times New Roman"/>
          <w:i/>
          <w:iCs/>
          <w:sz w:val="22"/>
          <w:szCs w:val="22"/>
        </w:rPr>
        <mc:AlternateContent>
          <mc:Choice Requires="wps">
            <w:drawing>
              <wp:anchor distT="78105" distB="7620" distL="13970" distR="71755" simplePos="0" relativeHeight="251659264" behindDoc="0" locked="0" layoutInCell="1" allowOverlap="1">
                <wp:simplePos x="0" y="0"/>
                <wp:positionH relativeFrom="column">
                  <wp:posOffset>1866900</wp:posOffset>
                </wp:positionH>
                <wp:positionV relativeFrom="paragraph">
                  <wp:posOffset>22225</wp:posOffset>
                </wp:positionV>
                <wp:extent cx="3086100" cy="342900"/>
                <wp:effectExtent l="5080" t="81280" r="81280" b="5080"/>
                <wp:wrapNone/>
                <wp:docPr id="1" name="Rectangle 3"/>
                <wp:cNvGraphicFramePr/>
                <a:graphic xmlns:a="http://schemas.openxmlformats.org/drawingml/2006/main">
                  <a:graphicData uri="http://schemas.microsoft.com/office/word/2010/wordprocessingShape">
                    <wps:wsp>
                      <wps:cNvSpPr/>
                      <wps:spPr>
                        <a:xfrm>
                          <a:off x="0" y="0"/>
                          <a:ext cx="3086280" cy="343080"/>
                        </a:xfrm>
                        <a:prstGeom prst="rect">
                          <a:avLst/>
                        </a:prstGeom>
                        <a:solidFill>
                          <a:srgbClr val="FFFFFF"/>
                        </a:solidFill>
                        <a:ln w="9525">
                          <a:solidFill>
                            <a:srgbClr val="000000"/>
                          </a:solidFill>
                          <a:miter/>
                        </a:ln>
                        <a:effectLst>
                          <a:outerShdw dist="107932" dir="18900000" algn="ctr" rotWithShape="0">
                            <a:srgbClr val="808080">
                              <a:alpha val="50000"/>
                            </a:srgbClr>
                          </a:outerShdw>
                        </a:effectLst>
                      </wps:spPr>
                      <wps:style>
                        <a:lnRef idx="0">
                          <a:srgbClr val="FFFFFF"/>
                        </a:lnRef>
                        <a:fillRef idx="0">
                          <a:srgbClr val="FFFFFF"/>
                        </a:fillRef>
                        <a:effectRef idx="0">
                          <a:srgbClr val="FFFFFF"/>
                        </a:effectRef>
                        <a:fontRef idx="minor"/>
                      </wps:style>
                      <wps:txbx>
                        <w:txbxContent>
                          <w:p>
                            <w:pPr>
                              <w:pStyle w:val="17"/>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anchor="t" upright="1">
                        <a:noAutofit/>
                      </wps:bodyPr>
                    </wps:wsp>
                  </a:graphicData>
                </a:graphic>
              </wp:anchor>
            </w:drawing>
          </mc:Choice>
          <mc:Fallback>
            <w:pict>
              <v:rect id="Rectangle 3" o:spid="_x0000_s1026" o:spt="1" style="position:absolute;left:0pt;margin-left:147pt;margin-top:1.75pt;height:27pt;width:243pt;z-index:251659264;mso-width-relative:page;mso-height-relative:page;" fillcolor="#FFFFFF" filled="t" stroked="t" coordsize="21600,21600" o:gfxdata="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">
                <v:fill on="t" focussize="0,0"/>
                <v:stroke color="#000000" joinstyle="miter"/>
                <v:imagedata o:title=""/>
                <o:lock v:ext="edit" aspectratio="f"/>
                <v:shadow on="t" color="#808080" opacity="32768f" offset="6.00937007874016pt,-6.00937007874016pt" origin="0f,0f" matrix="65536f,0f,0f,65536f"/>
                <v:textbox>
                  <w:txbxContent>
                    <w:p>
                      <w:pPr>
                        <w:pStyle w:val="17"/>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tabs>
          <w:tab w:val="left" w:pos="1695"/>
        </w:tabs>
        <w:jc w:val="both"/>
        <w:rPr>
          <w:rFonts w:ascii="Times New Roman" w:hAnsi="Times New Roman" w:cs="Times New Roman"/>
          <w:b/>
          <w:bCs/>
          <w:sz w:val="22"/>
          <w:szCs w:val="22"/>
          <w:u w:val="single"/>
        </w:rPr>
      </w:pPr>
    </w:p>
    <w:p>
      <w:pPr>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r>
        <w:rPr>
          <w:rFonts w:cs="Times New Roman"/>
          <w:b/>
          <w:bCs/>
          <w:sz w:val="22"/>
          <w:szCs w:val="22"/>
          <w:u w:val="single"/>
        </w:rPr>
        <w:t>ENTRE-LES SOUSSIGNES</w:t>
      </w:r>
    </w:p>
    <w:p>
      <w:pPr>
        <w:ind w:right="-141"/>
        <w:jc w:val="both"/>
        <w:rPr>
          <w:rFonts w:ascii="Times New Roman" w:hAnsi="Times New Roman" w:cs="Times New Roman"/>
          <w:sz w:val="22"/>
          <w:szCs w:val="22"/>
        </w:rPr>
      </w:pPr>
    </w:p>
    <w:p>
      <w:pPr>
        <w:jc w:val="both"/>
        <w:rPr>
          <w:rFonts w:ascii="Times New Roman" w:hAnsi="Times New Roman" w:cs="Times New Roman"/>
          <w:color w:val="000000"/>
        </w:rPr>
      </w:pPr>
      <w:r>
        <w:rPr>
          <w:rFonts w:cs="Times New Roman"/>
          <w:b/>
          <w:color w:val="000000"/>
        </w:rPr>
        <w:t>COMPAGNIE FINANCIERE AFRICAINE (COFINA) Togo SA</w:t>
      </w:r>
      <w:r>
        <w:rPr>
          <w:rFonts w:cs="Times New Roman"/>
          <w:color w:val="000000"/>
        </w:rPr>
        <w:t>, Société Anonyme avec Conseil d’Administration au capital de  </w:t>
      </w:r>
      <w:r>
        <w:rPr>
          <w:rFonts w:hint="default" w:cs="Times New Roman"/>
          <w:color w:val="000000"/>
        </w:rPr>
        <w:t>1 500 000 000</w:t>
      </w:r>
      <w:r>
        <w:rPr>
          <w:rFonts w:cs="Times New Roman"/>
          <w:color w:val="000000"/>
        </w:rPr>
        <w:t xml:space="preserve">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cs="Times New Roman"/>
          <w:color w:val="000000"/>
        </w:rPr>
        <w:t>, dont le siège social est situé à LOME (TOGO</w:t>
      </w:r>
      <w:bookmarkStart w:id="0" w:name="_Hlk66259236"/>
      <w:r>
        <w:rPr>
          <w:rFonts w:cs="Times New Roman"/>
          <w:color w:val="000000"/>
        </w:rPr>
        <w:t>), Boulevard du 13 Janvier, Quartier Kodjoviakope, 07 BP : 7499 Lomé-TOGO</w:t>
      </w:r>
      <w:bookmarkEnd w:id="0"/>
      <w:r>
        <w:rPr>
          <w:rFonts w:cs="Times New Roman"/>
          <w:color w:val="000000"/>
        </w:rPr>
        <w:t xml:space="preserve">, Tel : 00 228 22 23 68 68/ 00 228 22 23 68 60,  </w:t>
      </w:r>
    </w:p>
    <w:p>
      <w:pPr>
        <w:jc w:val="both"/>
        <w:rPr>
          <w:rFonts w:ascii="Times New Roman" w:hAnsi="Times New Roman" w:cs="Times New Roman"/>
          <w:color w:val="000000"/>
        </w:rPr>
      </w:pPr>
    </w:p>
    <w:p>
      <w:pPr>
        <w:jc w:val="both"/>
        <w:rPr>
          <w:rFonts w:ascii="Times New Roman" w:hAnsi="Times New Roman" w:cs="Times New Roman"/>
          <w:sz w:val="22"/>
          <w:szCs w:val="22"/>
        </w:rPr>
      </w:pPr>
      <w:r>
        <w:rPr>
          <w:rFonts w:cs="Times New Roman"/>
          <w:bCs/>
          <w:iCs/>
          <w:color w:val="000000"/>
        </w:rPr>
        <w:t xml:space="preserve">Représentée par </w:t>
      </w:r>
      <w:r>
        <w:rPr>
          <w:rFonts w:cs="Times New Roman"/>
          <w:b/>
          <w:bCs/>
          <w:iCs/>
          <w:color w:val="000000"/>
        </w:rPr>
        <w:t>Monsieur</w:t>
      </w:r>
      <w:r>
        <w:rPr>
          <w:rFonts w:cs="Times New Roman"/>
          <w:bCs/>
          <w:iCs/>
          <w:color w:val="000000"/>
        </w:rPr>
        <w:t xml:space="preserve"> </w:t>
      </w:r>
      <w:r>
        <w:rPr>
          <w:rFonts w:hint="default" w:cs="Times New Roman"/>
          <w:b/>
          <w:bCs/>
          <w:iCs/>
          <w:sz w:val="24"/>
          <w:szCs w:val="24"/>
        </w:rPr>
        <w:t>Kossi Mawuli KOVE</w:t>
      </w:r>
      <w:r>
        <w:rPr>
          <w:rFonts w:cs="Times New Roman"/>
          <w:bCs/>
          <w:iCs/>
          <w:color w:val="000000"/>
        </w:rPr>
        <w:t xml:space="preserve">, en sa qualité de Directeur Général, dûment habilité, et par délégation de pouvoir à </w:t>
      </w:r>
      <w:r>
        <w:rPr>
          <w:rFonts w:cs="Times New Roman"/>
          <w:b/>
          <w:iCs/>
          <w:color w:val="000000"/>
          <w:sz w:val="24"/>
          <w:szCs w:val="24"/>
        </w:rPr>
        <w:t>Madame Ameh Délali MESSANGAN</w:t>
      </w:r>
      <w:r>
        <w:rPr>
          <w:rFonts w:cs="Times New Roman"/>
          <w:bCs/>
          <w:iCs/>
          <w:color w:val="000000"/>
          <w:sz w:val="24"/>
          <w:szCs w:val="24"/>
        </w:rPr>
        <w:t xml:space="preserve"> épouse </w:t>
      </w:r>
      <w:r>
        <w:rPr>
          <w:rFonts w:cs="Times New Roman"/>
          <w:b/>
          <w:iCs/>
          <w:color w:val="000000"/>
          <w:sz w:val="24"/>
          <w:szCs w:val="24"/>
        </w:rPr>
        <w:t>AMEDEMEGNAH</w:t>
      </w:r>
      <w:r>
        <w:rPr>
          <w:rFonts w:cs="Times New Roman"/>
          <w:bCs/>
          <w:iCs/>
          <w:color w:val="000000"/>
          <w:sz w:val="24"/>
          <w:szCs w:val="24"/>
        </w:rPr>
        <w:t xml:space="preserve">, Responsable juridique, et </w:t>
      </w:r>
      <w:r>
        <w:rPr>
          <w:rFonts w:cs="Times New Roman"/>
          <w:b/>
          <w:bCs/>
          <w:iCs/>
          <w:sz w:val="24"/>
          <w:szCs w:val="24"/>
        </w:rPr>
        <w:t>Monsieur Koffi Djramedo GAMADO</w:t>
      </w:r>
      <w:r>
        <w:rPr>
          <w:rFonts w:cs="Times New Roman"/>
          <w:bCs/>
          <w:iCs/>
          <w:sz w:val="24"/>
          <w:szCs w:val="24"/>
        </w:rPr>
        <w:t>, Head Crédit</w:t>
      </w:r>
      <w:r>
        <w:rPr>
          <w:rFonts w:cs="Times New Roman"/>
          <w:bCs/>
          <w:iCs/>
          <w:color w:val="000000"/>
        </w:rPr>
        <w:t>,</w:t>
      </w:r>
      <w:r>
        <w:rPr>
          <w:rFonts w:cs="Times New Roman"/>
          <w:b/>
          <w:bCs/>
          <w:iCs/>
          <w:color w:val="000000"/>
        </w:rPr>
        <w:t> </w:t>
      </w:r>
      <w:r>
        <w:rPr>
          <w:rFonts w:cs="Times New Roman"/>
          <w:bCs/>
          <w:iCs/>
          <w:color w:val="000000"/>
        </w:rPr>
        <w:t>vertu d’un acte reçu par Me Afiavi S. do REGO-d’Almeida, Notaire à Lomé,</w:t>
      </w:r>
    </w:p>
    <w:p>
      <w:pPr>
        <w:ind w:right="-141"/>
        <w:jc w:val="both"/>
        <w:rPr>
          <w:rFonts w:ascii="Times New Roman" w:hAnsi="Times New Roman" w:cs="Times New Roman"/>
          <w:sz w:val="22"/>
          <w:szCs w:val="22"/>
        </w:rPr>
      </w:pPr>
    </w:p>
    <w:p>
      <w:pPr>
        <w:ind w:right="-141"/>
        <w:jc w:val="right"/>
        <w:rPr>
          <w:rFonts w:ascii="Times New Roman" w:hAnsi="Times New Roman" w:cs="Times New Roman"/>
          <w:i/>
          <w:iCs/>
          <w:sz w:val="22"/>
          <w:szCs w:val="22"/>
        </w:rPr>
      </w:pPr>
      <w:r>
        <w:rPr>
          <w:rFonts w:cs="Times New Roman"/>
          <w:sz w:val="22"/>
          <w:szCs w:val="22"/>
        </w:rPr>
        <w:t xml:space="preserve">Ci-après dénommée « </w:t>
      </w:r>
      <w:r>
        <w:rPr>
          <w:rFonts w:cs="Times New Roman"/>
          <w:b/>
          <w:bCs/>
          <w:sz w:val="22"/>
          <w:szCs w:val="22"/>
        </w:rPr>
        <w:t xml:space="preserve">COFINA TOGO SA », </w:t>
      </w:r>
      <w:r>
        <w:rPr>
          <w:rFonts w:cs="Times New Roman"/>
          <w:b/>
          <w:bCs/>
          <w:i/>
          <w:iCs/>
          <w:sz w:val="22"/>
          <w:szCs w:val="22"/>
        </w:rPr>
        <w:t>d’une part</w:t>
      </w:r>
      <w:r>
        <w:rPr>
          <w:rFonts w:cs="Times New Roman"/>
          <w:i/>
          <w:iCs/>
          <w:sz w:val="22"/>
          <w:szCs w:val="22"/>
        </w:rPr>
        <w:t>,</w:t>
      </w:r>
    </w:p>
    <w:p>
      <w:pPr>
        <w:ind w:right="-14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u w:val="single"/>
        </w:rPr>
      </w:pPr>
      <w:r>
        <w:rPr>
          <w:rFonts w:cs="Times New Roman"/>
          <w:b/>
          <w:bCs/>
          <w:sz w:val="22"/>
          <w:szCs w:val="22"/>
          <w:u w:val="single"/>
        </w:rPr>
        <w:t>ET</w:t>
      </w:r>
    </w:p>
    <w:p>
      <w:pPr>
        <w:ind w:right="-141"/>
        <w:jc w:val="both"/>
        <w:rPr>
          <w:rFonts w:ascii="Times New Roman" w:hAnsi="Times New Roman" w:cs="Times New Roman"/>
          <w:b/>
          <w:i/>
          <w:iCs/>
          <w:sz w:val="22"/>
          <w:szCs w:val="22"/>
        </w:rPr>
      </w:pPr>
    </w:p>
    <w:p>
      <w:pPr>
        <w:ind w:right="-141"/>
        <w:jc w:val="both"/>
        <w:rPr>
          <w:rFonts w:ascii="Times New Roman" w:hAnsi="Times New Roman" w:cs="Times New Roman"/>
          <w:b/>
          <w:bCs/>
          <w:highlight w:val="none"/>
          <w:lang w:val="en-US"/>
        </w:rPr>
      </w:pPr>
      <w:bookmarkStart w:id="1" w:name="_Hlk131079885"/>
      <w:r>
        <w:rPr>
          <w:rFonts w:cs="Times New Roman"/>
          <w:b/>
          <w:bCs/>
          <w:lang w:val="en-US"/>
        </w:rPr>
        <w:t>${civility}</w:t>
      </w:r>
      <w:r>
        <w:rPr>
          <w:rFonts w:cs="Times New Roman"/>
          <w:b/>
          <w:bCs/>
        </w:rPr>
        <w:t xml:space="preserve"> </w:t>
      </w:r>
      <w:r>
        <w:rPr>
          <w:rFonts w:cs="Times New Roman"/>
          <w:b/>
          <w:bCs/>
          <w:lang w:val="en-US"/>
        </w:rPr>
        <w:t>${last_name} ${first_name}, née le</w:t>
      </w:r>
      <w:r>
        <w:rPr>
          <w:rFonts w:cs="Times New Roman"/>
          <w:b/>
          <w:bCs/>
        </w:rPr>
        <w:t xml:space="preserve"> </w:t>
      </w:r>
      <w:r>
        <w:rPr>
          <w:rFonts w:cs="Times New Roman"/>
          <w:b/>
          <w:bCs/>
          <w:lang w:val="en-US"/>
        </w:rPr>
        <w:t>${birth_date_fr} à ${birth_place}</w:t>
      </w:r>
      <w:r>
        <w:rPr>
          <w:rFonts w:cs="Times New Roman"/>
          <w:b/>
          <w:bCs/>
        </w:rPr>
        <w:t xml:space="preserve">, de nationalité </w:t>
      </w:r>
      <w:r>
        <w:rPr>
          <w:rFonts w:cs="Times New Roman"/>
          <w:b/>
          <w:bCs/>
          <w:lang w:val="en-US"/>
        </w:rPr>
        <w:t>${nationality}</w:t>
      </w:r>
      <w:r>
        <w:rPr>
          <w:rFonts w:cs="Times New Roman"/>
          <w:b/>
          <w:bCs/>
        </w:rPr>
        <w:t xml:space="preserve"> domicilié à </w:t>
      </w:r>
      <w:r>
        <w:rPr>
          <w:rFonts w:cs="Times New Roman"/>
          <w:b/>
          <w:bCs/>
          <w:lang w:val="en-US"/>
        </w:rPr>
        <w:t>${home_address}</w:t>
      </w:r>
      <w:r>
        <w:rPr>
          <w:rFonts w:cs="Times New Roman"/>
          <w:b/>
          <w:bCs/>
        </w:rPr>
        <w:t xml:space="preserve"> et titulaire </w:t>
      </w:r>
      <w:r>
        <w:rPr>
          <w:rFonts w:cs="Times New Roman"/>
          <w:b/>
          <w:bCs/>
          <w:lang w:val="en-US"/>
        </w:rPr>
        <w:t>${type_of_identity_document}</w:t>
      </w:r>
      <w:r>
        <w:rPr>
          <w:rFonts w:cs="Times New Roman"/>
          <w:b/>
          <w:bCs/>
        </w:rPr>
        <w:t xml:space="preserve"> ${number_of_identity_document}</w:t>
      </w:r>
      <w:r>
        <w:rPr>
          <w:rFonts w:hint="default" w:cs="Times New Roman"/>
          <w:b/>
          <w:bCs/>
          <w:lang w:val="fr-FR"/>
        </w:rPr>
        <w:t xml:space="preserve"> </w:t>
      </w:r>
      <w:r>
        <w:rPr>
          <w:rFonts w:cs="Times New Roman"/>
          <w:b/>
          <w:bCs/>
        </w:rPr>
        <w:t>${date_of_issue_of_identity_document</w:t>
      </w:r>
      <w:r>
        <w:rPr>
          <w:rFonts w:cs="Times New Roman"/>
          <w:b/>
          <w:bCs/>
          <w:lang w:val="en-US"/>
        </w:rPr>
        <w:t>_fr</w:t>
      </w:r>
      <w:r>
        <w:rPr>
          <w:rFonts w:cs="Times New Roman"/>
          <w:b/>
          <w:bCs/>
        </w:rPr>
        <w:t>} Fonction : ${function}, Tél : ${phone_number}</w:t>
      </w:r>
      <w:r>
        <w:rPr>
          <w:rFonts w:cs="Times New Roman"/>
          <w:b/>
          <w:bCs/>
          <w:lang w:val="en-US"/>
        </w:rPr>
        <w:t>.</w:t>
      </w:r>
      <w:bookmarkEnd w:id="1"/>
    </w:p>
    <w:p>
      <w:pPr>
        <w:ind w:right="-141"/>
        <w:jc w:val="both"/>
        <w:rPr>
          <w:rFonts w:ascii="Times New Roman" w:hAnsi="Times New Roman" w:cs="Times New Roman"/>
          <w:sz w:val="22"/>
          <w:szCs w:val="22"/>
        </w:rPr>
      </w:pPr>
    </w:p>
    <w:p>
      <w:pPr>
        <w:ind w:right="-141"/>
        <w:jc w:val="right"/>
        <w:rPr>
          <w:rFonts w:ascii="Times New Roman" w:hAnsi="Times New Roman" w:cs="Times New Roman"/>
          <w:b/>
          <w:bCs/>
          <w:i/>
          <w:iCs/>
          <w:sz w:val="22"/>
          <w:szCs w:val="22"/>
        </w:rPr>
      </w:pPr>
      <w:r>
        <w:rPr>
          <w:rFonts w:cs="Times New Roman"/>
          <w:sz w:val="22"/>
          <w:szCs w:val="22"/>
        </w:rPr>
        <w:t xml:space="preserve">Ci-après dénommée </w:t>
      </w:r>
      <w:r>
        <w:rPr>
          <w:rFonts w:cs="Times New Roman"/>
          <w:b/>
          <w:bCs/>
          <w:sz w:val="22"/>
          <w:szCs w:val="22"/>
        </w:rPr>
        <w:t xml:space="preserve">« la Caution » </w:t>
      </w:r>
      <w:r>
        <w:rPr>
          <w:rFonts w:cs="Times New Roman"/>
          <w:b/>
          <w:bCs/>
          <w:i/>
          <w:iCs/>
          <w:sz w:val="22"/>
          <w:szCs w:val="22"/>
        </w:rPr>
        <w:t>d’autre part</w:t>
      </w:r>
    </w:p>
    <w:p>
      <w:pPr>
        <w:ind w:right="-141"/>
        <w:jc w:val="both"/>
        <w:rPr>
          <w:rFonts w:ascii="Times New Roman" w:hAnsi="Times New Roman" w:cs="Times New Roman"/>
          <w:b/>
          <w:bCs/>
          <w:i/>
          <w:iCs/>
          <w:sz w:val="22"/>
          <w:szCs w:val="22"/>
        </w:rPr>
      </w:pPr>
    </w:p>
    <w:p>
      <w:pPr>
        <w:rPr>
          <w:rFonts w:ascii="Times New Roman" w:hAnsi="Times New Roman" w:cs="Times New Roman"/>
          <w:b/>
          <w:bCs/>
          <w:sz w:val="22"/>
          <w:szCs w:val="22"/>
        </w:rPr>
      </w:pPr>
      <w:r>
        <w:br w:type="page"/>
      </w:r>
    </w:p>
    <w:p>
      <w:pPr>
        <w:spacing w:before="0" w:after="0"/>
        <w:ind w:right="-141"/>
        <w:jc w:val="both"/>
        <w:rPr>
          <w:rFonts w:ascii="Times New Roman" w:hAnsi="Times New Roman" w:cs="Times New Roman"/>
          <w:b/>
          <w:bCs/>
          <w:sz w:val="22"/>
          <w:szCs w:val="22"/>
        </w:rPr>
      </w:pPr>
      <w:r>
        <w:rPr>
          <w:rFonts w:cs="Times New Roman"/>
          <w:b/>
          <w:bCs/>
          <w:sz w:val="22"/>
          <w:szCs w:val="22"/>
        </w:rPr>
        <w:t>Il a été convenu et arrêté ce qui suit :</w:t>
      </w:r>
    </w:p>
    <w:p>
      <w:pPr>
        <w:ind w:right="-14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Premier</w:t>
      </w:r>
      <w:r>
        <w:rPr>
          <w:rFonts w:cs="Times New Roman"/>
          <w:b/>
          <w:bCs/>
          <w:sz w:val="22"/>
          <w:szCs w:val="22"/>
        </w:rPr>
        <w:t xml:space="preserve">. </w:t>
      </w:r>
      <w:r>
        <w:rPr>
          <w:rFonts w:cs="Times New Roman"/>
          <w:b/>
          <w:bCs/>
          <w:i/>
          <w:iCs/>
          <w:sz w:val="22"/>
          <w:szCs w:val="22"/>
        </w:rPr>
        <w:t xml:space="preserve">– </w:t>
      </w:r>
      <w:r>
        <w:rPr>
          <w:rFonts w:cs="Times New Roman"/>
          <w:b/>
          <w:bCs/>
          <w:sz w:val="22"/>
          <w:szCs w:val="22"/>
        </w:rPr>
        <w:t xml:space="preserve">OBJET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iCs/>
          <w:color w:val="000000"/>
          <w:highlight w:val="none"/>
        </w:rPr>
      </w:pPr>
      <w:r>
        <w:rPr>
          <w:rFonts w:cs="Times New Roman"/>
          <w:b/>
          <w:bCs/>
          <w:lang w:val="en-US"/>
        </w:rPr>
        <w:t>${civility}</w:t>
      </w:r>
      <w:r>
        <w:rPr>
          <w:rFonts w:cs="Times New Roman"/>
          <w:b/>
          <w:bCs/>
        </w:rPr>
        <w:t xml:space="preserve"> - </w:t>
      </w:r>
      <w:r>
        <w:rPr>
          <w:rFonts w:cs="Times New Roman"/>
          <w:b/>
          <w:bCs/>
          <w:lang w:val="en-US"/>
        </w:rPr>
        <w:t>${last_name} ${first_name}</w:t>
      </w:r>
      <w:r>
        <w:rPr>
          <w:rFonts w:cs="Times New Roman"/>
          <w:b/>
          <w:bCs/>
        </w:rPr>
        <w:t xml:space="preserve"> </w:t>
      </w:r>
      <w:r>
        <w:rPr>
          <w:rFonts w:cs="Times New Roman"/>
          <w:sz w:val="22"/>
          <w:szCs w:val="22"/>
        </w:rPr>
        <w:t>se porte Caution aux fins de garantir à titre personnel et solidaire, le remboursement de toutes les sommes dont la cautionnée</w:t>
      </w:r>
      <w:r>
        <w:rPr>
          <w:rFonts w:hint="default" w:cs="Times New Roman"/>
          <w:sz w:val="22"/>
          <w:szCs w:val="22"/>
          <w:lang w:val="en-US"/>
        </w:rPr>
        <w:t xml:space="preserve"> </w:t>
      </w:r>
      <w:r>
        <w:rPr>
          <w:b/>
        </w:rPr>
        <w:t>${individual_business.denomination}</w:t>
      </w:r>
      <w:r>
        <w:rPr>
          <w:rFonts w:cs="Times New Roman"/>
          <w:b/>
          <w:bCs/>
          <w:iCs/>
          <w:color w:val="000000"/>
        </w:rPr>
        <w:t xml:space="preserve"> </w:t>
      </w:r>
      <w:r>
        <w:rPr>
          <w:rFonts w:cs="Times New Roman"/>
          <w:sz w:val="22"/>
          <w:szCs w:val="22"/>
        </w:rPr>
        <w:t xml:space="preserve">client titulaire du compte </w:t>
      </w:r>
      <w:bookmarkStart w:id="2" w:name="_Hlk71196002"/>
      <w:r>
        <w:rPr>
          <w:rFonts w:cs="Times New Roman"/>
          <w:b/>
          <w:sz w:val="22"/>
          <w:szCs w:val="22"/>
        </w:rPr>
        <w:t>N°</w:t>
      </w:r>
      <w:bookmarkEnd w:id="2"/>
      <w:r>
        <w:rPr>
          <w:rFonts w:cs="Times New Roman"/>
          <w:b/>
          <w:sz w:val="22"/>
          <w:szCs w:val="22"/>
        </w:rPr>
        <w:t xml:space="preserve"> ${contract.verbal_trial.account_number} </w:t>
      </w:r>
      <w:r>
        <w:rPr>
          <w:rFonts w:cs="Times New Roman"/>
          <w:sz w:val="22"/>
          <w:szCs w:val="22"/>
        </w:rPr>
        <w:t>ouvert dans les livres de COFINA Togo SA, se trouve ou pourrait se trouver débiteur à raison du prêt qui lui est consenti, jusqu’à concurrence d’un montant maximum de</w:t>
      </w:r>
      <w:r>
        <w:rPr>
          <w:rFonts w:cs="Times New Roman"/>
          <w:b/>
          <w:sz w:val="22"/>
          <w:szCs w:val="22"/>
        </w:rPr>
        <w:t xml:space="preserve"> </w:t>
      </w:r>
      <w:bookmarkStart w:id="3" w:name="_Hlk71203108"/>
      <w:r>
        <w:rPr>
          <w:rFonts w:cs="Times New Roman"/>
          <w:b/>
          <w:bCs/>
          <w:sz w:val="22"/>
          <w:szCs w:val="22"/>
        </w:rPr>
        <w:t>${contract.total_to_pay.fr}</w:t>
      </w:r>
      <w:r>
        <w:rPr>
          <w:rFonts w:cs="Times New Roman"/>
          <w:b/>
          <w:bCs/>
          <w:sz w:val="22"/>
          <w:szCs w:val="22"/>
          <w:lang w:val="en-US"/>
        </w:rPr>
        <w:t xml:space="preserve"> (${contract.total_to_pay})</w:t>
      </w:r>
      <w:r>
        <w:rPr>
          <w:rFonts w:cs="Times New Roman"/>
          <w:b/>
          <w:bCs/>
          <w:sz w:val="22"/>
          <w:szCs w:val="22"/>
        </w:rPr>
        <w:t xml:space="preserve"> </w:t>
      </w:r>
      <w:r>
        <w:rPr>
          <w:rFonts w:cs="Times New Roman"/>
          <w:b/>
          <w:sz w:val="22"/>
          <w:szCs w:val="22"/>
        </w:rPr>
        <w:t>FCFA</w:t>
      </w:r>
      <w:r>
        <w:rPr>
          <w:rFonts w:cs="Times New Roman"/>
          <w:b/>
          <w:bCs/>
          <w:i/>
          <w:iCs/>
          <w:sz w:val="22"/>
          <w:szCs w:val="22"/>
        </w:rPr>
        <w:t xml:space="preserve"> </w:t>
      </w:r>
      <w:r>
        <w:rPr>
          <w:rFonts w:cs="Times New Roman"/>
          <w:sz w:val="22"/>
          <w:szCs w:val="22"/>
        </w:rPr>
        <w:t xml:space="preserve">en principal, plus intérêts, commissions, pénalités, frais et accessoires quelconques. </w:t>
      </w:r>
      <w:bookmarkEnd w:id="3"/>
    </w:p>
    <w:p>
      <w:pPr>
        <w:tabs>
          <w:tab w:val="left" w:pos="6450"/>
        </w:tabs>
        <w:ind w:right="-141"/>
        <w:jc w:val="both"/>
        <w:rPr>
          <w:rFonts w:ascii="Times New Roman" w:hAnsi="Times New Roman" w:cs="Times New Roman"/>
          <w:b/>
          <w:bCs/>
          <w:sz w:val="22"/>
          <w:szCs w:val="22"/>
        </w:rPr>
      </w:pPr>
      <w:r>
        <w:rPr>
          <w:rFonts w:cs="Times New Roman"/>
          <w:b/>
          <w:bCs/>
          <w:sz w:val="22"/>
          <w:szCs w:val="22"/>
        </w:rPr>
        <w:tab/>
      </w:r>
    </w:p>
    <w:p>
      <w:pPr>
        <w:tabs>
          <w:tab w:val="left" w:pos="6450"/>
        </w:tabs>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2</w:t>
      </w:r>
      <w:r>
        <w:rPr>
          <w:rFonts w:cs="Times New Roman"/>
          <w:b/>
          <w:bCs/>
          <w:sz w:val="22"/>
          <w:szCs w:val="22"/>
        </w:rPr>
        <w:t xml:space="preserve">. – ETENDUE DU CAUTIONNEMENT </w:t>
      </w:r>
    </w:p>
    <w:p>
      <w:pPr>
        <w:ind w:right="-141"/>
        <w:jc w:val="both"/>
        <w:rPr>
          <w:rFonts w:ascii="Times New Roman" w:hAnsi="Times New Roman" w:cs="Times New Roman"/>
          <w:b/>
          <w:bCs/>
          <w:sz w:val="22"/>
          <w:szCs w:val="22"/>
        </w:rPr>
      </w:pPr>
    </w:p>
    <w:p>
      <w:pPr>
        <w:ind w:right="1"/>
        <w:jc w:val="both"/>
        <w:rPr>
          <w:rFonts w:ascii="Times New Roman" w:hAnsi="Times New Roman" w:cs="Times New Roman"/>
          <w:sz w:val="22"/>
          <w:szCs w:val="22"/>
        </w:rPr>
      </w:pPr>
      <w:r>
        <w:rPr>
          <w:rFonts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ind w:right="1"/>
        <w:jc w:val="both"/>
        <w:rPr>
          <w:rFonts w:ascii="Times New Roman" w:hAnsi="Times New Roman" w:cs="Times New Roman"/>
          <w:sz w:val="22"/>
          <w:szCs w:val="22"/>
        </w:rPr>
      </w:pPr>
    </w:p>
    <w:p>
      <w:pPr>
        <w:ind w:right="1"/>
        <w:jc w:val="both"/>
        <w:rPr>
          <w:rFonts w:ascii="Times New Roman" w:hAnsi="Times New Roman" w:cs="Times New Roman"/>
          <w:i/>
          <w:iCs/>
          <w:sz w:val="22"/>
          <w:szCs w:val="22"/>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3</w:t>
      </w:r>
      <w:r>
        <w:rPr>
          <w:rFonts w:cs="Times New Roman"/>
          <w:b/>
          <w:bCs/>
          <w:i/>
          <w:iCs/>
          <w:sz w:val="22"/>
          <w:szCs w:val="22"/>
        </w:rPr>
        <w:t xml:space="preserve">. – </w:t>
      </w:r>
      <w:r>
        <w:rPr>
          <w:rFonts w:cs="Times New Roman"/>
          <w:b/>
          <w:bCs/>
          <w:sz w:val="22"/>
          <w:szCs w:val="22"/>
        </w:rPr>
        <w:t xml:space="preserve">CARACTERISTIQUES DU CAUTIONNEMENT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La Caution, par les présentes, renonce expressément aux bénéfices de discussion et de division tant avec le débiteur principal qu’avec tous coobligés.</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4</w:t>
      </w:r>
      <w:r>
        <w:rPr>
          <w:rFonts w:cs="Times New Roman"/>
          <w:b/>
          <w:bCs/>
          <w:i/>
          <w:iCs/>
          <w:sz w:val="22"/>
          <w:szCs w:val="22"/>
        </w:rPr>
        <w:t xml:space="preserve">. – </w:t>
      </w:r>
      <w:r>
        <w:rPr>
          <w:rFonts w:cs="Times New Roman"/>
          <w:b/>
          <w:bCs/>
          <w:sz w:val="22"/>
          <w:szCs w:val="22"/>
        </w:rPr>
        <w:t xml:space="preserve">DECLARATIONS ET ENGAGEMENT DE LA CAUTION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La Caution déclare avoir pris personnellement connaissance et vérifié la situation financière du</w:t>
      </w:r>
    </w:p>
    <w:p>
      <w:pPr>
        <w:ind w:right="-141"/>
        <w:jc w:val="both"/>
        <w:rPr>
          <w:rFonts w:ascii="Times New Roman" w:hAnsi="Times New Roman" w:cs="Times New Roman"/>
          <w:sz w:val="22"/>
          <w:szCs w:val="22"/>
        </w:rPr>
      </w:pPr>
      <w:r>
        <w:rPr>
          <w:rFonts w:cs="Times New Roman"/>
          <w:sz w:val="22"/>
          <w:szCs w:val="22"/>
        </w:rPr>
        <w:t>Cautionné au moment de la signature des présentes.</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cs="Times New Roman"/>
          <w:sz w:val="22"/>
          <w:szCs w:val="22"/>
        </w:rPr>
        <w:t xml:space="preserve">COFINA Togo SA. </w:t>
      </w:r>
      <w:bookmarkEnd w:id="4"/>
      <w:r>
        <w:rPr>
          <w:rFonts w:cs="Times New Roman"/>
          <w:sz w:val="22"/>
          <w:szCs w:val="22"/>
        </w:rPr>
        <w:t xml:space="preserve">Dès lors, si le cautionné obtient de tels délais de la part de COFINA Togo SA. La Caution qui reste tenue ne pourra poursuivre le Cautionné avant l’expiration de ces délais.  </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bookmarkStart w:id="5" w:name="_Hlk66263678"/>
      <w:r>
        <w:rPr>
          <w:rFonts w:cs="Times New Roman"/>
          <w:sz w:val="22"/>
          <w:szCs w:val="22"/>
        </w:rPr>
        <w:t xml:space="preserve">La Caution </w:t>
      </w:r>
      <w:bookmarkEnd w:id="5"/>
      <w:r>
        <w:rPr>
          <w:rFonts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5</w:t>
      </w:r>
      <w:r>
        <w:rPr>
          <w:rFonts w:cs="Times New Roman"/>
          <w:b/>
          <w:bCs/>
          <w:i/>
          <w:iCs/>
          <w:sz w:val="22"/>
          <w:szCs w:val="22"/>
        </w:rPr>
        <w:t xml:space="preserve">. – </w:t>
      </w:r>
      <w:r>
        <w:rPr>
          <w:rFonts w:cs="Times New Roman"/>
          <w:b/>
          <w:bCs/>
          <w:sz w:val="22"/>
          <w:szCs w:val="22"/>
        </w:rPr>
        <w:t xml:space="preserve">EXIGIBILITE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ind w:right="-141"/>
        <w:jc w:val="both"/>
        <w:rPr>
          <w:rFonts w:ascii="Times New Roman" w:hAnsi="Times New Roman" w:cs="Times New Roman"/>
          <w:sz w:val="22"/>
          <w:szCs w:val="22"/>
        </w:rPr>
      </w:pPr>
    </w:p>
    <w:p>
      <w:pPr>
        <w:numPr>
          <w:ilvl w:val="0"/>
          <w:numId w:val="1"/>
        </w:numPr>
        <w:ind w:left="851" w:right="-141" w:hanging="397"/>
        <w:jc w:val="both"/>
        <w:rPr>
          <w:rFonts w:ascii="Times New Roman" w:hAnsi="Times New Roman" w:cs="Times New Roman"/>
          <w:sz w:val="22"/>
          <w:szCs w:val="22"/>
        </w:rPr>
      </w:pPr>
      <w:r>
        <w:rPr>
          <w:rFonts w:cs="Times New Roman"/>
          <w:sz w:val="22"/>
          <w:szCs w:val="22"/>
        </w:rPr>
        <w:t>Clôture du compte du client débiteur principal ou du compte de la Caution si celle-ci est</w:t>
      </w:r>
    </w:p>
    <w:p>
      <w:pPr>
        <w:ind w:right="-141"/>
        <w:jc w:val="both"/>
        <w:rPr>
          <w:rFonts w:ascii="Times New Roman" w:hAnsi="Times New Roman" w:cs="Times New Roman"/>
          <w:sz w:val="22"/>
          <w:szCs w:val="22"/>
        </w:rPr>
      </w:pPr>
      <w:r>
        <w:rPr>
          <w:rFonts w:cs="Times New Roman"/>
          <w:sz w:val="22"/>
          <w:szCs w:val="22"/>
        </w:rPr>
        <w:t xml:space="preserve">Cliente de COFINA Togo SA pour quelque cause que ce soit ;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En cas d’admission du cautionné à une procédure collective d’apurement du passif ou à toute circonstance analogue ;</w:t>
      </w:r>
    </w:p>
    <w:p>
      <w:pPr>
        <w:ind w:left="454"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En cas de déchéance du terme applicable au client cautionné tel que définie par le Contrat de prêt ;</w:t>
      </w:r>
    </w:p>
    <w:p>
      <w:pPr>
        <w:ind w:right="-141"/>
        <w:jc w:val="both"/>
        <w:rPr>
          <w:rFonts w:ascii="Times New Roman" w:hAnsi="Times New Roman" w:cs="Times New Roman"/>
          <w:sz w:val="22"/>
          <w:szCs w:val="22"/>
        </w:rPr>
      </w:pPr>
    </w:p>
    <w:p>
      <w:pPr>
        <w:numPr>
          <w:ilvl w:val="0"/>
          <w:numId w:val="2"/>
        </w:numPr>
        <w:ind w:left="851" w:right="-141" w:hanging="397"/>
        <w:jc w:val="both"/>
        <w:rPr>
          <w:rFonts w:ascii="Times New Roman" w:hAnsi="Times New Roman" w:cs="Times New Roman"/>
          <w:sz w:val="22"/>
          <w:szCs w:val="22"/>
        </w:rPr>
      </w:pPr>
      <w:r>
        <w:rPr>
          <w:rFonts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6</w:t>
      </w:r>
      <w:r>
        <w:rPr>
          <w:rFonts w:cs="Times New Roman"/>
          <w:b/>
          <w:bCs/>
          <w:sz w:val="22"/>
          <w:szCs w:val="22"/>
        </w:rPr>
        <w:t xml:space="preserve">. - INDIVISIBILITE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7</w:t>
      </w:r>
      <w:r>
        <w:rPr>
          <w:rFonts w:cs="Times New Roman"/>
          <w:b/>
          <w:bCs/>
          <w:sz w:val="22"/>
          <w:szCs w:val="22"/>
        </w:rPr>
        <w:t xml:space="preserve">. – DUREE DE VALIDITE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r>
        <w:rPr>
          <w:rFonts w:cs="Times New Roman"/>
          <w:sz w:val="22"/>
          <w:szCs w:val="22"/>
        </w:rPr>
        <w:t>Le présent Cautionnement restera en vigueur tant que le débiteur cautionné restera devoir une</w:t>
      </w:r>
      <w:r>
        <w:rPr>
          <w:rFonts w:cs="Times New Roman"/>
          <w:b/>
          <w:bCs/>
          <w:sz w:val="22"/>
          <w:szCs w:val="22"/>
        </w:rPr>
        <w:t xml:space="preserve"> </w:t>
      </w:r>
      <w:r>
        <w:rPr>
          <w:rFonts w:cs="Times New Roman"/>
          <w:sz w:val="22"/>
          <w:szCs w:val="22"/>
        </w:rPr>
        <w:t>quelconque somme au titre du prêt consenti par COFINA Togo SA.</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8</w:t>
      </w:r>
      <w:r>
        <w:rPr>
          <w:rFonts w:cs="Times New Roman"/>
          <w:b/>
          <w:bCs/>
          <w:sz w:val="22"/>
          <w:szCs w:val="22"/>
        </w:rPr>
        <w:t xml:space="preserve">. - CORRESPONDANCES – ELECTION DE DOMICILE </w:t>
      </w:r>
    </w:p>
    <w:p>
      <w:pPr>
        <w:tabs>
          <w:tab w:val="left" w:pos="6212"/>
        </w:tabs>
        <w:ind w:right="-141"/>
        <w:jc w:val="both"/>
        <w:rPr>
          <w:rFonts w:ascii="Times New Roman" w:hAnsi="Times New Roman" w:cs="Times New Roman"/>
          <w:b/>
          <w:bCs/>
          <w:sz w:val="22"/>
          <w:szCs w:val="22"/>
        </w:rPr>
      </w:pPr>
      <w:r>
        <w:rPr>
          <w:rFonts w:cs="Times New Roman"/>
          <w:b/>
          <w:bCs/>
          <w:sz w:val="22"/>
          <w:szCs w:val="22"/>
        </w:rPr>
        <w:tab/>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Domicile est élu par les parties en leur adresse respective figurant en entête des présentes dans le ressort du Greffe du Tribunal de commerce de Lomé.</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9</w:t>
      </w:r>
      <w:r>
        <w:rPr>
          <w:rFonts w:cs="Times New Roman"/>
          <w:b/>
          <w:bCs/>
          <w:sz w:val="22"/>
          <w:szCs w:val="22"/>
        </w:rPr>
        <w:t xml:space="preserve">. – INFORMATION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COFINA Togo SA informera la Caution de toute défaillance, déchéance ou prorogation du terme applicable au client cautionné ainsi que de l’évolution de l’endettement de celui-ci.</w:t>
      </w:r>
    </w:p>
    <w:p>
      <w:pPr>
        <w:ind w:right="-141"/>
        <w:jc w:val="both"/>
        <w:rPr>
          <w:rFonts w:ascii="Times New Roman" w:hAnsi="Times New Roman" w:cs="Times New Roman"/>
          <w:sz w:val="22"/>
          <w:szCs w:val="22"/>
        </w:rPr>
      </w:pPr>
    </w:p>
    <w:p>
      <w:pPr>
        <w:ind w:right="-141"/>
        <w:jc w:val="both"/>
        <w:rPr>
          <w:rFonts w:ascii="Times New Roman" w:hAnsi="Times New Roman" w:cs="Times New Roman"/>
          <w:b/>
          <w:bCs/>
          <w:sz w:val="22"/>
          <w:szCs w:val="22"/>
        </w:rPr>
      </w:pPr>
      <w:r>
        <w:rPr>
          <w:rFonts w:cs="Times New Roman"/>
          <w:b/>
          <w:bCs/>
          <w:sz w:val="22"/>
          <w:szCs w:val="22"/>
          <w:u w:val="single"/>
        </w:rPr>
        <w:t>ARTICLE 10</w:t>
      </w:r>
      <w:r>
        <w:rPr>
          <w:rFonts w:cs="Times New Roman"/>
          <w:b/>
          <w:bCs/>
          <w:i/>
          <w:iCs/>
          <w:sz w:val="22"/>
          <w:szCs w:val="22"/>
        </w:rPr>
        <w:t xml:space="preserve">. – </w:t>
      </w:r>
      <w:r>
        <w:rPr>
          <w:rFonts w:cs="Times New Roman"/>
          <w:b/>
          <w:bCs/>
          <w:sz w:val="22"/>
          <w:szCs w:val="22"/>
        </w:rPr>
        <w:t xml:space="preserve">DROITS ET FRAIS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Tous les frais et droits auxquels donnent ou pourront donner lieu le présent contrat et son exécution seront supportés par la Caution qui s’y oblige.</w:t>
      </w: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u w:val="single"/>
        </w:rPr>
      </w:pPr>
    </w:p>
    <w:p>
      <w:pPr>
        <w:ind w:right="-141"/>
        <w:jc w:val="both"/>
        <w:rPr>
          <w:rFonts w:ascii="Times New Roman" w:hAnsi="Times New Roman" w:cs="Times New Roman"/>
          <w:b/>
          <w:bCs/>
          <w:sz w:val="22"/>
          <w:szCs w:val="22"/>
        </w:rPr>
      </w:pPr>
      <w:r>
        <w:rPr>
          <w:rFonts w:cs="Times New Roman"/>
          <w:b/>
          <w:bCs/>
          <w:sz w:val="22"/>
          <w:szCs w:val="22"/>
          <w:u w:val="single"/>
        </w:rPr>
        <w:t>ARTICLE 11</w:t>
      </w:r>
      <w:r>
        <w:rPr>
          <w:rFonts w:cs="Times New Roman"/>
          <w:b/>
          <w:bCs/>
          <w:i/>
          <w:iCs/>
          <w:sz w:val="22"/>
          <w:szCs w:val="22"/>
        </w:rPr>
        <w:t xml:space="preserve">. – </w:t>
      </w:r>
      <w:r>
        <w:rPr>
          <w:rFonts w:cs="Times New Roman"/>
          <w:b/>
          <w:bCs/>
          <w:sz w:val="22"/>
          <w:szCs w:val="22"/>
        </w:rPr>
        <w:t xml:space="preserve">DROIT APPLICABLE – ATTRIBUTION DE COMPETENCE </w:t>
      </w:r>
    </w:p>
    <w:p>
      <w:pPr>
        <w:ind w:right="-141"/>
        <w:jc w:val="both"/>
        <w:rPr>
          <w:rFonts w:ascii="Times New Roman" w:hAnsi="Times New Roman" w:cs="Times New Roman"/>
          <w:b/>
          <w:bCs/>
          <w:sz w:val="22"/>
          <w:szCs w:val="22"/>
        </w:rPr>
      </w:pPr>
    </w:p>
    <w:p>
      <w:pPr>
        <w:ind w:right="-141"/>
        <w:jc w:val="both"/>
        <w:rPr>
          <w:rFonts w:ascii="Times New Roman" w:hAnsi="Times New Roman" w:cs="Times New Roman"/>
          <w:sz w:val="22"/>
          <w:szCs w:val="22"/>
        </w:rPr>
      </w:pPr>
      <w:r>
        <w:rPr>
          <w:rFonts w:cs="Times New Roman"/>
          <w:sz w:val="22"/>
          <w:szCs w:val="22"/>
        </w:rPr>
        <w:t>Le présent contrat est régi par les actes uniformes du traité OHADA et par toute disposition compatible de la loi Togolaise.</w:t>
      </w:r>
    </w:p>
    <w:p>
      <w:pPr>
        <w:ind w:right="-141"/>
        <w:jc w:val="both"/>
        <w:rPr>
          <w:rFonts w:ascii="Times New Roman" w:hAnsi="Times New Roman" w:cs="Times New Roman"/>
          <w:sz w:val="22"/>
          <w:szCs w:val="22"/>
        </w:rPr>
      </w:pPr>
    </w:p>
    <w:p>
      <w:pPr>
        <w:ind w:right="-141"/>
        <w:jc w:val="both"/>
        <w:rPr>
          <w:rFonts w:ascii="Times New Roman" w:hAnsi="Times New Roman" w:cs="Times New Roman"/>
          <w:sz w:val="22"/>
          <w:szCs w:val="22"/>
        </w:rPr>
      </w:pPr>
      <w:r>
        <w:rPr>
          <w:rFonts w:cs="Times New Roman"/>
          <w:sz w:val="22"/>
          <w:szCs w:val="22"/>
        </w:rPr>
        <w:t>Tous différends et litiges relatifs à son interprétation, son exécution, ses suites et ses conséquences, seront de la seule compétence des Juridictions Togolaises.</w:t>
      </w:r>
    </w:p>
    <w:p>
      <w:pPr>
        <w:ind w:right="-141"/>
        <w:jc w:val="both"/>
        <w:rPr>
          <w:rFonts w:ascii="Times New Roman" w:hAnsi="Times New Roman" w:cs="Times New Roman"/>
          <w:sz w:val="22"/>
          <w:szCs w:val="22"/>
        </w:rPr>
      </w:pPr>
    </w:p>
    <w:p>
      <w:pPr>
        <w:ind w:right="-141"/>
        <w:jc w:val="center"/>
        <w:rPr>
          <w:rFonts w:ascii="Times New Roman" w:hAnsi="Times New Roman" w:cs="Times New Roman"/>
          <w:sz w:val="22"/>
          <w:szCs w:val="22"/>
        </w:rPr>
      </w:pPr>
      <w:r>
        <w:rPr>
          <w:rFonts w:cs="Times New Roman"/>
          <w:sz w:val="22"/>
          <w:szCs w:val="22"/>
        </w:rPr>
        <w:t xml:space="preserve">                                                                                                                          Fait à Lomé le ………………….</w:t>
      </w:r>
    </w:p>
    <w:p>
      <w:pPr>
        <w:ind w:right="-141"/>
        <w:jc w:val="right"/>
        <w:rPr>
          <w:rFonts w:ascii="Times New Roman" w:hAnsi="Times New Roman" w:cs="Times New Roman"/>
          <w:sz w:val="22"/>
          <w:szCs w:val="22"/>
        </w:rPr>
      </w:pPr>
      <w:r>
        <w:rPr>
          <w:rFonts w:cs="Times New Roman"/>
          <w:sz w:val="22"/>
          <w:szCs w:val="22"/>
        </w:rPr>
        <w:t>En trois (3) exemplaires originaux</w:t>
      </w:r>
    </w:p>
    <w:p>
      <w:pPr>
        <w:ind w:right="-141"/>
        <w:jc w:val="both"/>
        <w:rPr>
          <w:rFonts w:ascii="Times New Roman" w:hAnsi="Times New Roman" w:cs="Times New Roman"/>
          <w:sz w:val="22"/>
          <w:szCs w:val="22"/>
        </w:rPr>
      </w:pPr>
    </w:p>
    <w:p>
      <w:pPr>
        <w:rPr>
          <w:rFonts w:ascii="Times New Roman" w:hAnsi="Times New Roman" w:cs="Times New Roman"/>
          <w:b/>
        </w:rPr>
      </w:pPr>
      <w:r>
        <w:br w:type="page"/>
      </w:r>
    </w:p>
    <w:p>
      <w:pPr>
        <w:spacing w:before="0" w:after="0"/>
        <w:jc w:val="center"/>
        <w:rPr>
          <w:rFonts w:ascii="Times New Roman" w:hAnsi="Times New Roman" w:cs="Times New Roman"/>
          <w:b/>
          <w:bCs/>
          <w:iCs/>
          <w:position w:val="0"/>
          <w:sz w:val="20"/>
          <w:vertAlign w:val="baseline"/>
        </w:rPr>
      </w:pPr>
      <w:r>
        <w:rPr>
          <w:rFonts w:cs="Times New Roman"/>
          <w:b/>
        </w:rPr>
        <w:t>Pour l’Institution</w:t>
      </w:r>
    </w:p>
    <w:p>
      <w:pPr>
        <w:spacing w:before="0" w:after="0"/>
        <w:rPr>
          <w:rFonts w:ascii="Times New Roman" w:hAnsi="Times New Roman" w:cs="Times New Roman"/>
          <w:b/>
          <w:bCs/>
          <w:iCs/>
          <w:sz w:val="24"/>
          <w:szCs w:val="24"/>
          <w:lang w:val="it-IT"/>
        </w:rPr>
      </w:pPr>
    </w:p>
    <w:p>
      <w:pPr>
        <w:spacing w:before="0" w:after="0"/>
        <w:rPr>
          <w:rFonts w:ascii="Times New Roman" w:hAnsi="Times New Roman" w:cs="Times New Roman"/>
          <w:b/>
          <w:bCs/>
          <w:iCs/>
          <w:color w:val="000000"/>
          <w:sz w:val="24"/>
          <w:szCs w:val="24"/>
          <w:lang w:val="it-IT"/>
        </w:rPr>
      </w:pPr>
      <w:r>
        <w:rPr>
          <w:rFonts w:cs="Times New Roman"/>
          <w:b/>
          <w:bCs/>
          <w:iCs/>
          <w:sz w:val="24"/>
          <w:szCs w:val="24"/>
          <w:lang w:val="it-IT"/>
        </w:rPr>
        <w:t xml:space="preserve">M. Koffi Djramedo GAMADO                           </w:t>
      </w:r>
      <w:r>
        <w:rPr>
          <w:rFonts w:cs="Times New Roman"/>
          <w:b/>
          <w:bCs/>
          <w:iCs/>
          <w:sz w:val="24"/>
          <w:szCs w:val="24"/>
          <w:lang w:val="en-US"/>
        </w:rPr>
        <w:tab/>
      </w:r>
      <w:r>
        <w:rPr>
          <w:rFonts w:cs="Times New Roman"/>
          <w:b/>
          <w:bCs/>
          <w:iCs/>
          <w:sz w:val="24"/>
          <w:szCs w:val="24"/>
          <w:lang w:val="en-US"/>
        </w:rPr>
        <w:tab/>
      </w:r>
      <w:r>
        <w:rPr>
          <w:rFonts w:cs="Times New Roman"/>
          <w:b/>
          <w:bCs/>
          <w:iCs/>
          <w:color w:val="000000"/>
          <w:sz w:val="24"/>
          <w:szCs w:val="24"/>
          <w:lang w:val="it-IT"/>
        </w:rPr>
        <w:t xml:space="preserve">Mme. Ameh D. MESSANGAN </w:t>
      </w:r>
    </w:p>
    <w:p>
      <w:pPr>
        <w:spacing w:before="0" w:after="0"/>
        <w:rPr>
          <w:rFonts w:ascii="Times New Roman" w:hAnsi="Times New Roman" w:cs="Times New Roman"/>
          <w:b/>
          <w:bCs/>
          <w:iCs/>
          <w:color w:val="000000"/>
          <w:sz w:val="24"/>
          <w:szCs w:val="24"/>
        </w:rPr>
      </w:pPr>
      <w:r>
        <w:rPr>
          <w:rFonts w:cs="Times New Roman"/>
          <w:b/>
          <w:bCs/>
          <w:iCs/>
          <w:color w:val="000000"/>
          <w:sz w:val="24"/>
          <w:szCs w:val="24"/>
          <w:lang w:val="it-IT"/>
        </w:rPr>
        <w:t xml:space="preserve">                                                                                   </w:t>
      </w:r>
      <w:r>
        <w:rPr>
          <w:rFonts w:cs="Times New Roman"/>
          <w:b/>
          <w:bCs/>
          <w:iCs/>
          <w:color w:val="000000"/>
          <w:sz w:val="24"/>
          <w:szCs w:val="24"/>
          <w:lang w:val="en-US"/>
        </w:rPr>
        <w:tab/>
      </w:r>
      <w:r>
        <w:rPr>
          <w:rFonts w:cs="Times New Roman"/>
          <w:iCs/>
          <w:color w:val="000000"/>
          <w:sz w:val="24"/>
          <w:szCs w:val="24"/>
        </w:rPr>
        <w:t>épse</w:t>
      </w:r>
      <w:r>
        <w:rPr>
          <w:rFonts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ascii="Times New Roman" w:hAnsi="Times New Roman" w:cs="Times New Roman"/>
          <w:bCs/>
          <w:iCs/>
          <w:sz w:val="24"/>
          <w:szCs w:val="24"/>
        </w:rPr>
      </w:pPr>
      <w:bookmarkStart w:id="6" w:name="_GoBack"/>
      <w:bookmarkEnd w:id="6"/>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p>
    <w:p>
      <w:pPr>
        <w:jc w:val="both"/>
        <w:rPr>
          <w:rFonts w:ascii="Times New Roman" w:hAnsi="Times New Roman" w:cs="Times New Roman"/>
          <w:b/>
          <w:bCs/>
          <w:iCs/>
        </w:rPr>
      </w:pPr>
    </w:p>
    <w:p>
      <w:pPr>
        <w:jc w:val="center"/>
        <w:rPr>
          <w:rFonts w:ascii="Times New Roman" w:hAnsi="Times New Roman" w:cs="Times New Roman"/>
          <w:b/>
        </w:rPr>
      </w:pPr>
    </w:p>
    <w:p>
      <w:pPr>
        <w:jc w:val="center"/>
        <w:rPr>
          <w:rFonts w:ascii="Times New Roman" w:hAnsi="Times New Roman" w:cs="Times New Roman"/>
          <w:b/>
        </w:rPr>
      </w:pPr>
      <w:r>
        <w:rPr>
          <w:rFonts w:cs="Times New Roman"/>
          <w:b/>
        </w:rPr>
        <w:t>Pour la caution</w:t>
      </w:r>
    </w:p>
    <w:p>
      <w:pPr>
        <w:rPr>
          <w:rFonts w:ascii="Times New Roman" w:hAnsi="Times New Roman" w:cs="Times New Roman"/>
          <w:b/>
        </w:rPr>
      </w:pPr>
    </w:p>
    <w:p>
      <w:pPr>
        <w:jc w:val="center"/>
        <w:rPr>
          <w:rFonts w:ascii="Times New Roman" w:hAnsi="Times New Roman" w:cs="Times New Roman"/>
          <w:b/>
        </w:rPr>
      </w:pPr>
    </w:p>
    <w:p>
      <w:pPr>
        <w:jc w:val="center"/>
        <w:rPr>
          <w:rFonts w:ascii="Times New Roman" w:hAnsi="Times New Roman" w:cs="Times New Roman"/>
          <w:b/>
          <w:bCs/>
          <w:iCs/>
          <w:highlight w:val="none"/>
          <w:lang w:val="en-US"/>
        </w:rPr>
      </w:pPr>
      <w:r>
        <w:rPr>
          <w:rFonts w:cs="Times New Roman"/>
          <w:b/>
          <w:bCs/>
          <w:iCs/>
        </w:rPr>
        <w:t xml:space="preserve">   ${civility} ${last_name} ${first_name}</w:t>
      </w:r>
    </w:p>
    <w:p>
      <w:pPr>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6" w:h="16838"/>
      <w:pgMar w:top="899" w:right="716" w:bottom="1077" w:left="780" w:header="454" w:footer="102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oto Sans Devanagari">
    <w:panose1 w:val="020B0502040504020204"/>
    <w:charset w:val="00"/>
    <w:family w:val="auto"/>
    <w:pitch w:val="default"/>
    <w:sig w:usb0="80008023" w:usb1="00002046"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Book Antiqua">
    <w:altName w:val="C059"/>
    <w:panose1 w:val="00000000000000000000"/>
    <w:charset w:val="01"/>
    <w:family w:val="roman"/>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Symbol">
    <w:altName w:val="C059"/>
    <w:panose1 w:val="00000000000000000000"/>
    <w:charset w:val="02"/>
    <w:family w:val="roman"/>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left"/>
      <w:rPr>
        <w:rFonts w:asciiTheme="minorHAnsi" w:hAnsiTheme="minorHAnsi"/>
        <w:b/>
        <w:sz w:val="22"/>
        <w:szCs w:val="22"/>
      </w:rPr>
    </w:pPr>
    <w:r>
      <w:rPr>
        <w:rFonts w:asciiTheme="minorHAnsi" w:hAnsiTheme="minorHAnsi" w:cstheme="minorHAnsi"/>
        <w:sz w:val="16"/>
        <w:szCs w:val="16"/>
      </w:rPr>
      <w:t>CONTRAT DE CAUTIONNEMENT –</w:t>
    </w:r>
    <w:r>
      <w:rPr>
        <w:b/>
        <w:bCs/>
      </w:rPr>
      <w:t xml:space="preserve"> </w:t>
    </w:r>
    <w:r>
      <w:rPr>
        <w:b/>
      </w:rPr>
      <w:t>${individual_business.denomination}</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Calibri" w:hAnsi="Calibri" w:cs="Calibri"/>
        <w:sz w:val="16"/>
        <w:szCs w:val="16"/>
      </w:rPr>
      <w:instrText xml:space="preserve"> PAGE \* ARABIC </w:instrText>
    </w:r>
    <w:r>
      <w:rPr>
        <w:rFonts w:ascii="Calibri" w:hAnsi="Calibri" w:cs="Calibri"/>
        <w:sz w:val="16"/>
        <w:szCs w:val="16"/>
      </w:rPr>
      <w:fldChar w:fldCharType="separate"/>
    </w:r>
    <w:r>
      <w:rPr>
        <w:rFonts w:ascii="Calibri" w:hAnsi="Calibri" w:cs="Calibri"/>
        <w:sz w:val="16"/>
        <w:szCs w:val="16"/>
      </w:rPr>
      <w:t>5</w:t>
    </w:r>
    <w:r>
      <w:rPr>
        <w:rFonts w:ascii="Calibri" w:hAnsi="Calibri" w:cs="Calibri"/>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left"/>
      <w:rPr>
        <w:rFonts w:asciiTheme="minorHAnsi" w:hAnsiTheme="minorHAnsi"/>
        <w:b/>
        <w:sz w:val="22"/>
        <w:szCs w:val="22"/>
      </w:rPr>
    </w:pPr>
    <w:r>
      <w:rPr>
        <w:rFonts w:asciiTheme="minorHAnsi" w:hAnsiTheme="minorHAnsi" w:cstheme="minorHAnsi"/>
        <w:sz w:val="16"/>
        <w:szCs w:val="16"/>
      </w:rPr>
      <w:t>CONTRAT DE CAUTIONNEMENT –</w:t>
    </w:r>
    <w:r>
      <w:rPr>
        <w:b/>
        <w:bCs/>
      </w:rPr>
      <w:t xml:space="preserve"> </w:t>
    </w:r>
    <w:r>
      <w:rPr>
        <w:b/>
      </w:rPr>
      <w:t>${individual_business.denomination}</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Calibri" w:hAnsi="Calibri" w:cs="Calibri"/>
        <w:sz w:val="16"/>
        <w:szCs w:val="16"/>
      </w:rPr>
      <w:instrText xml:space="preserve"> PAGE \* ARABIC </w:instrText>
    </w:r>
    <w:r>
      <w:rPr>
        <w:rFonts w:ascii="Calibri" w:hAnsi="Calibri" w:cs="Calibri"/>
        <w:sz w:val="16"/>
        <w:szCs w:val="16"/>
      </w:rPr>
      <w:fldChar w:fldCharType="separate"/>
    </w:r>
    <w:r>
      <w:rPr>
        <w:rFonts w:ascii="Calibri" w:hAnsi="Calibri" w:cs="Calibri"/>
        <w:sz w:val="16"/>
        <w:szCs w:val="16"/>
      </w:rPr>
      <w:t>5</w:t>
    </w:r>
    <w:r>
      <w:rPr>
        <w:rFonts w:ascii="Calibri" w:hAnsi="Calibri" w:cs="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jc w:val="center"/>
    </w:pP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stretch>
                    <a:fillRect/>
                  </a:stretch>
                </pic:blipFill>
                <pic:spPr>
                  <a:xfrm>
                    <a:off x="0" y="0"/>
                    <a:ext cx="2752725" cy="752475"/>
                  </a:xfrm>
                  <a:prstGeom prst="rect">
                    <a:avLst/>
                  </a:prstGeom>
                </pic:spPr>
              </pic:pic>
            </a:graphicData>
          </a:graphic>
        </wp:inline>
      </w:drawing>
    </w:r>
  </w:p>
  <w:p>
    <w:pPr>
      <w:tabs>
        <w:tab w:val="left" w:pos="4862"/>
        <w:tab w:val="left" w:pos="5031"/>
      </w:tabs>
    </w:pPr>
  </w:p>
  <w:p>
    <w:pPr>
      <w:tabs>
        <w:tab w:val="left" w:pos="4862"/>
        <w:tab w:val="left" w:pos="5031"/>
      </w:tabs>
    </w:pPr>
    <w:r>
      <w:t>N°${contract.verbal_trial.committee_id}</w:t>
    </w:r>
  </w:p>
  <w:p>
    <w:pPr>
      <w:tabs>
        <w:tab w:val="left" w:pos="4862"/>
        <w:tab w:val="left" w:pos="5031"/>
      </w:tabs>
    </w:pPr>
  </w:p>
  <w:p>
    <w:pPr>
      <w:tabs>
        <w:tab w:val="left" w:pos="4862"/>
        <w:tab w:val="left" w:pos="5031"/>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pPr>
    <w:r>
      <w:rPr>
        <w:b/>
        <w:bCs/>
        <w:i/>
        <w:iCs/>
        <w:sz w:val="22"/>
        <w:szCs w:val="22"/>
      </w:rPr>
      <w:t xml:space="preserve">                                    </w:t>
    </w:r>
    <w:r>
      <w:drawing>
        <wp:inline distT="0" distB="0" distL="0" distR="0">
          <wp:extent cx="2752725" cy="752475"/>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1"/>
                  <a:stretch>
                    <a:fillRect/>
                  </a:stretch>
                </pic:blipFill>
                <pic:spPr>
                  <a:xfrm>
                    <a:off x="0" y="0"/>
                    <a:ext cx="2752725" cy="752475"/>
                  </a:xfrm>
                  <a:prstGeom prst="rect">
                    <a:avLst/>
                  </a:prstGeom>
                </pic:spPr>
              </pic:pic>
            </a:graphicData>
          </a:graphic>
        </wp:inline>
      </w:drawing>
    </w:r>
  </w:p>
  <w:p>
    <w:pPr>
      <w:tabs>
        <w:tab w:val="left" w:pos="4862"/>
        <w:tab w:val="left" w:pos="5031"/>
      </w:tabs>
    </w:pPr>
  </w:p>
  <w:p>
    <w:pPr>
      <w:tabs>
        <w:tab w:val="left" w:pos="4862"/>
        <w:tab w:val="left" w:pos="5031"/>
      </w:tabs>
    </w:pPr>
    <w:r>
      <w:t>N°${contract.verbal_trial.committee_id}</w:t>
    </w:r>
  </w:p>
  <w:p>
    <w:pPr>
      <w:tabs>
        <w:tab w:val="left" w:pos="4862"/>
        <w:tab w:val="left" w:pos="5031"/>
      </w:tabs>
    </w:pPr>
  </w:p>
  <w:p>
    <w:pPr>
      <w:tabs>
        <w:tab w:val="left" w:pos="4862"/>
        <w:tab w:val="left" w:pos="5031"/>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E9EF7"/>
    <w:multiLevelType w:val="multilevel"/>
    <w:tmpl w:val="C6FE9EF7"/>
    <w:lvl w:ilvl="0" w:tentative="0">
      <w:start w:val="0"/>
      <w:numFmt w:val="bullet"/>
      <w:lvlText w:val="-"/>
      <w:lvlJc w:val="left"/>
      <w:pPr>
        <w:tabs>
          <w:tab w:val="left" w:pos="794"/>
        </w:tabs>
        <w:ind w:left="851" w:hanging="397"/>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1">
    <w:nsid w:val="7C671A8D"/>
    <w:multiLevelType w:val="multilevel"/>
    <w:tmpl w:val="7C671A8D"/>
    <w:lvl w:ilvl="0" w:tentative="0">
      <w:start w:val="0"/>
      <w:numFmt w:val="bullet"/>
      <w:lvlText w:val="-"/>
      <w:lvlJc w:val="left"/>
      <w:pPr>
        <w:tabs>
          <w:tab w:val="left" w:pos="794"/>
        </w:tabs>
        <w:ind w:left="851" w:hanging="397"/>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FA4C048"/>
    <w:rsid w:val="53FE285E"/>
    <w:rsid w:val="6BE5744E"/>
    <w:rsid w:val="75DBDEFB"/>
    <w:rsid w:val="7B7D9DF5"/>
    <w:rsid w:val="A7F9B658"/>
    <w:rsid w:val="BAE53EEB"/>
    <w:rsid w:val="BEFFB76A"/>
    <w:rsid w:val="D7BC0397"/>
    <w:rsid w:val="DFEF5AE3"/>
    <w:rsid w:val="EBDA2A0E"/>
    <w:rsid w:val="F9962E0A"/>
    <w:rsid w:val="F9DF6F30"/>
    <w:rsid w:val="FDFF5B5A"/>
  </w:rsids>
  <m:mathPr>
    <m:brkBin m:val="before"/>
    <m:brkBinSub m:val="--"/>
    <m:smallFrac m:val="0"/>
    <m:dispDef/>
    <m:lMargin m:val="0"/>
    <m:rMargin m:val="0"/>
    <m:defJc m:val="centerGroup"/>
    <m:wrapIndent m:val="1440"/>
    <m:intLim m:val="subSup"/>
    <m:naryLim m:val="undOvr"/>
  </m:mathPr>
  <w:themeFontLang w:val="fr-F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240" w:lineRule="auto"/>
      <w:jc w:val="left"/>
    </w:pPr>
    <w:rPr>
      <w:rFonts w:ascii="Times New Roman" w:hAnsi="Times New Roman" w:eastAsia="Times New Roman" w:cs="Times New Roman"/>
      <w:color w:val="auto"/>
      <w:kern w:val="0"/>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before="0" w:after="140" w:line="276" w:lineRule="auto"/>
    </w:pPr>
  </w:style>
  <w:style w:type="paragraph" w:styleId="5">
    <w:name w:val="caption"/>
    <w:basedOn w:val="1"/>
    <w:next w:val="1"/>
    <w:qFormat/>
    <w:uiPriority w:val="0"/>
    <w:pPr>
      <w:suppressLineNumbers/>
      <w:spacing w:before="120" w:after="120"/>
    </w:pPr>
    <w:rPr>
      <w:rFonts w:cs="Noto Sans Devanagari"/>
      <w:i/>
      <w:iCs/>
      <w:sz w:val="24"/>
      <w:szCs w:val="24"/>
    </w:rPr>
  </w:style>
  <w:style w:type="paragraph" w:styleId="6">
    <w:name w:val="footer"/>
    <w:basedOn w:val="1"/>
    <w:link w:val="11"/>
    <w:qFormat/>
    <w:uiPriority w:val="0"/>
    <w:pPr>
      <w:tabs>
        <w:tab w:val="center" w:pos="4536"/>
        <w:tab w:val="right" w:pos="9072"/>
      </w:tabs>
    </w:pPr>
  </w:style>
  <w:style w:type="paragraph" w:styleId="7">
    <w:name w:val="header"/>
    <w:basedOn w:val="1"/>
    <w:link w:val="10"/>
    <w:qFormat/>
    <w:uiPriority w:val="0"/>
    <w:pPr>
      <w:tabs>
        <w:tab w:val="center" w:pos="4536"/>
        <w:tab w:val="right" w:pos="9072"/>
      </w:tabs>
    </w:pPr>
  </w:style>
  <w:style w:type="paragraph" w:styleId="8">
    <w:name w:val="List"/>
    <w:basedOn w:val="4"/>
    <w:qFormat/>
    <w:uiPriority w:val="0"/>
    <w:rPr>
      <w:rFonts w:cs="Noto Sans Devanagari"/>
    </w:rPr>
  </w:style>
  <w:style w:type="table" w:styleId="9">
    <w:name w:val="Table Grid"/>
    <w:basedOn w:val="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En-tête Car"/>
    <w:basedOn w:val="2"/>
    <w:link w:val="7"/>
    <w:qFormat/>
    <w:uiPriority w:val="0"/>
    <w:rPr>
      <w:rFonts w:ascii="Times New Roman" w:hAnsi="Times New Roman" w:eastAsia="Times New Roman" w:cs="Times New Roman"/>
      <w:sz w:val="24"/>
      <w:szCs w:val="24"/>
      <w:lang w:eastAsia="fr-FR"/>
    </w:rPr>
  </w:style>
  <w:style w:type="character" w:customStyle="1" w:styleId="11">
    <w:name w:val="Pied de page Car"/>
    <w:basedOn w:val="2"/>
    <w:link w:val="6"/>
    <w:qFormat/>
    <w:uiPriority w:val="0"/>
    <w:rPr>
      <w:rFonts w:ascii="Times New Roman" w:hAnsi="Times New Roman" w:eastAsia="Times New Roman" w:cs="Times New Roman"/>
      <w:sz w:val="24"/>
      <w:szCs w:val="24"/>
      <w:lang w:eastAsia="fr-FR"/>
    </w:rPr>
  </w:style>
  <w:style w:type="character" w:customStyle="1" w:styleId="12">
    <w:name w:val="Caractères de note de bas de page"/>
    <w:qFormat/>
    <w:uiPriority w:val="0"/>
  </w:style>
  <w:style w:type="paragraph" w:customStyle="1" w:styleId="13">
    <w:name w:val="Titre"/>
    <w:basedOn w:val="1"/>
    <w:next w:val="4"/>
    <w:qFormat/>
    <w:uiPriority w:val="0"/>
    <w:pPr>
      <w:keepNext/>
      <w:spacing w:before="240" w:after="120"/>
    </w:pPr>
    <w:rPr>
      <w:rFonts w:ascii="Liberation Sans" w:hAnsi="Liberation Sans" w:eastAsia="Noto Sans CJK SC" w:cs="Noto Sans Devanagari"/>
      <w:sz w:val="28"/>
      <w:szCs w:val="28"/>
    </w:rPr>
  </w:style>
  <w:style w:type="paragraph" w:customStyle="1" w:styleId="14">
    <w:name w:val="Index"/>
    <w:basedOn w:val="1"/>
    <w:qFormat/>
    <w:uiPriority w:val="0"/>
    <w:pPr>
      <w:suppressLineNumbers/>
    </w:pPr>
    <w:rPr>
      <w:rFonts w:cs="Noto Sans Devanagari"/>
    </w:rPr>
  </w:style>
  <w:style w:type="paragraph" w:customStyle="1" w:styleId="15">
    <w:name w:val="En-tête et pied de page"/>
    <w:basedOn w:val="1"/>
    <w:qFormat/>
    <w:uiPriority w:val="0"/>
  </w:style>
  <w:style w:type="paragraph" w:customStyle="1" w:styleId="16">
    <w:name w:val="Body"/>
    <w:basedOn w:val="1"/>
    <w:qFormat/>
    <w:uiPriority w:val="99"/>
    <w:pPr>
      <w:spacing w:before="0" w:after="120"/>
      <w:ind w:left="283"/>
    </w:pPr>
    <w:rPr>
      <w:sz w:val="16"/>
      <w:szCs w:val="16"/>
    </w:rPr>
  </w:style>
  <w:style w:type="paragraph" w:customStyle="1" w:styleId="17">
    <w:name w:val="Contenu de cad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1076</Words>
  <Characters>6001</Characters>
  <Paragraphs>55</Paragraphs>
  <TotalTime>0</TotalTime>
  <ScaleCrop>false</ScaleCrop>
  <LinksUpToDate>false</LinksUpToDate>
  <CharactersWithSpaces>7389</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2026-09-23T13:32:52Z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