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15"/>
          <w:tab w:val="center" w:pos="4536"/>
        </w:tabs>
        <w:jc w:val="both"/>
        <w:rPr>
          <w:rFonts w:ascii="Times New Roman" w:hAnsi="Times New Roman" w:cs="Times New Roman"/>
          <w:b/>
          <w:bCs/>
          <w:i/>
          <w:iCs/>
          <w:sz w:val="22"/>
          <w:szCs w:val="22"/>
        </w:rPr>
      </w:pPr>
    </w:p>
    <w:p>
      <w:pPr>
        <w:tabs>
          <w:tab w:val="left" w:pos="4215"/>
          <w:tab w:val="center" w:pos="4536"/>
        </w:tabs>
        <w:jc w:val="both"/>
        <w:rPr>
          <w:rFonts w:ascii="Times New Roman" w:hAnsi="Times New Roman" w:cs="Times New Roman"/>
          <w:b/>
          <w:bCs/>
          <w:i/>
          <w:iCs/>
          <w:sz w:val="22"/>
          <w:szCs w:val="22"/>
        </w:rPr>
      </w:pPr>
      <w:r>
        <w:rPr>
          <w:rFonts w:cs="Times New Roman"/>
          <w:b/>
          <w:bCs/>
          <w:i/>
          <w:iCs/>
          <w:sz w:val="22"/>
          <w:szCs w:val="22"/>
        </w:rPr>
        <mc:AlternateContent>
          <mc:Choice Requires="wps">
            <w:drawing>
              <wp:anchor distT="78105" distB="7620" distL="13970" distR="71755" simplePos="0" relativeHeight="251659264" behindDoc="0" locked="0" layoutInCell="1" allowOverlap="1">
                <wp:simplePos x="0" y="0"/>
                <wp:positionH relativeFrom="column">
                  <wp:posOffset>1181100</wp:posOffset>
                </wp:positionH>
                <wp:positionV relativeFrom="paragraph">
                  <wp:posOffset>22225</wp:posOffset>
                </wp:positionV>
                <wp:extent cx="4391025" cy="342900"/>
                <wp:effectExtent l="4445" t="81280" r="81280" b="13970"/>
                <wp:wrapNone/>
                <wp:docPr id="1" name="Rectangle 3"/>
                <wp:cNvGraphicFramePr/>
                <a:graphic xmlns:a="http://schemas.openxmlformats.org/drawingml/2006/main">
                  <a:graphicData uri="http://schemas.microsoft.com/office/word/2010/wordprocessingShape">
                    <wps:wsp>
                      <wps:cNvSpPr/>
                      <wps:spPr>
                        <a:xfrm>
                          <a:off x="0" y="0"/>
                          <a:ext cx="4391025" cy="343080"/>
                        </a:xfrm>
                        <a:prstGeom prst="rect">
                          <a:avLst/>
                        </a:prstGeom>
                        <a:solidFill>
                          <a:srgbClr val="FFFFFF"/>
                        </a:solidFill>
                        <a:ln w="9525">
                          <a:solidFill>
                            <a:srgbClr val="000000"/>
                          </a:solidFill>
                          <a:miter/>
                        </a:ln>
                        <a:effectLst>
                          <a:outerShdw dist="107932" dir="18900000" algn="ctr" rotWithShape="0">
                            <a:srgbClr val="808080">
                              <a:alpha val="50000"/>
                            </a:srgbClr>
                          </a:outerShdw>
                        </a:effectLst>
                      </wps:spPr>
                      <wps:style>
                        <a:lnRef idx="0">
                          <a:srgbClr val="FFFFFF"/>
                        </a:lnRef>
                        <a:fillRef idx="0">
                          <a:srgbClr val="FFFFFF"/>
                        </a:fillRef>
                        <a:effectRef idx="0">
                          <a:srgbClr val="FFFFFF"/>
                        </a:effectRef>
                        <a:fontRef idx="minor"/>
                      </wps:style>
                      <wps:txbx>
                        <w:txbxContent>
                          <w:p>
                            <w:pPr>
                              <w:pStyle w:val="17"/>
                              <w:jc w:val="center"/>
                              <w:rPr>
                                <w:rFonts w:ascii="Book Antiqua" w:hAnsi="Book Antiqua"/>
                                <w:b/>
                                <w:bCs/>
                                <w:i/>
                                <w:iCs/>
                                <w:sz w:val="32"/>
                                <w:szCs w:val="32"/>
                              </w:rPr>
                            </w:pPr>
                            <w:r>
                              <w:rPr>
                                <w:rFonts w:ascii="Book Antiqua" w:hAnsi="Book Antiqua"/>
                                <w:b/>
                                <w:bCs/>
                                <w:i/>
                                <w:iCs/>
                                <w:sz w:val="32"/>
                                <w:szCs w:val="32"/>
                              </w:rPr>
                              <w:t>Contrat de Cautionnement</w:t>
                            </w:r>
                          </w:p>
                        </w:txbxContent>
                      </wps:txbx>
                      <wps:bodyPr anchor="t" upright="1">
                        <a:noAutofit/>
                      </wps:bodyPr>
                    </wps:wsp>
                  </a:graphicData>
                </a:graphic>
              </wp:anchor>
            </w:drawing>
          </mc:Choice>
          <mc:Fallback>
            <w:pict>
              <v:rect id="Rectangle 3" o:spid="_x0000_s1026" o:spt="1" style="position:absolute;left:0pt;margin-left:93pt;margin-top:1.75pt;height:27pt;width:345.75pt;z-index:251659264;mso-width-relative:page;mso-height-relative:page;" fillcolor="#FFFFFF" filled="t" stroked="t" coordsize="21600,21600" o:gfxdata="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">
                <v:fill on="t" focussize="0,0"/>
                <v:stroke color="#000000" joinstyle="miter"/>
                <v:imagedata o:title=""/>
                <o:lock v:ext="edit" aspectratio="f"/>
                <v:shadow on="t" color="#808080" opacity="32768f" offset="6.00937007874016pt,-6.00937007874016pt" origin="0f,0f" matrix="65536f,0f,0f,65536f"/>
                <v:textbox>
                  <w:txbxContent>
                    <w:p>
                      <w:pPr>
                        <w:pStyle w:val="17"/>
                        <w:jc w:val="center"/>
                        <w:rPr>
                          <w:rFonts w:ascii="Book Antiqua" w:hAnsi="Book Antiqua"/>
                          <w:b/>
                          <w:bCs/>
                          <w:i/>
                          <w:iCs/>
                          <w:sz w:val="32"/>
                          <w:szCs w:val="32"/>
                        </w:rPr>
                      </w:pPr>
                      <w:r>
                        <w:rPr>
                          <w:rFonts w:ascii="Book Antiqua" w:hAnsi="Book Antiqua"/>
                          <w:b/>
                          <w:bCs/>
                          <w:i/>
                          <w:iCs/>
                          <w:sz w:val="32"/>
                          <w:szCs w:val="32"/>
                        </w:rPr>
                        <w:t>Contrat de Cautionnement</w:t>
                      </w:r>
                    </w:p>
                  </w:txbxContent>
                </v:textbox>
              </v:rect>
            </w:pict>
          </mc:Fallback>
        </mc:AlternateContent>
      </w:r>
    </w:p>
    <w:p>
      <w:pPr>
        <w:jc w:val="center"/>
        <w:rPr>
          <w:rFonts w:ascii="Times New Roman" w:hAnsi="Times New Roman" w:cs="Times New Roman"/>
          <w:i/>
          <w:iCs/>
          <w:sz w:val="22"/>
          <w:szCs w:val="22"/>
        </w:rPr>
      </w:pPr>
    </w:p>
    <w:p>
      <w:pPr>
        <w:tabs>
          <w:tab w:val="left" w:pos="1695"/>
        </w:tabs>
        <w:jc w:val="both"/>
        <w:rPr>
          <w:rFonts w:ascii="Times New Roman" w:hAnsi="Times New Roman" w:cs="Times New Roman"/>
          <w:b/>
          <w:bCs/>
          <w:sz w:val="22"/>
          <w:szCs w:val="22"/>
          <w:u w:val="single"/>
        </w:rPr>
      </w:pPr>
    </w:p>
    <w:p>
      <w:pPr>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r>
        <w:rPr>
          <w:rFonts w:cs="Times New Roman"/>
          <w:b/>
          <w:bCs/>
          <w:sz w:val="22"/>
          <w:szCs w:val="22"/>
          <w:u w:val="single"/>
        </w:rPr>
        <w:t>ENTRE-LES SOUSSIGNES</w:t>
      </w:r>
    </w:p>
    <w:p>
      <w:pPr>
        <w:ind w:right="-141"/>
        <w:jc w:val="both"/>
        <w:rPr>
          <w:rFonts w:ascii="Times New Roman" w:hAnsi="Times New Roman" w:cs="Times New Roman"/>
          <w:sz w:val="22"/>
          <w:szCs w:val="22"/>
        </w:rPr>
      </w:pPr>
    </w:p>
    <w:p>
      <w:pPr>
        <w:jc w:val="both"/>
        <w:rPr>
          <w:rFonts w:ascii="Times New Roman" w:hAnsi="Times New Roman" w:cs="Times New Roman"/>
          <w:color w:val="000000"/>
        </w:rPr>
      </w:pPr>
      <w:r>
        <w:rPr>
          <w:rFonts w:cs="Times New Roman"/>
          <w:b/>
          <w:color w:val="000000"/>
        </w:rPr>
        <w:t>COMPAGNIE FINANCIERE AFRICAINE (COFINA) Togo SA</w:t>
      </w:r>
      <w:r>
        <w:rPr>
          <w:rFonts w:cs="Times New Roman"/>
          <w:color w:val="000000"/>
        </w:rPr>
        <w:t>, Société Anonyme avec Conseil d’Administration au capital de  </w:t>
      </w:r>
      <w:r>
        <w:rPr>
          <w:rFonts w:hint="default" w:cs="Times New Roman"/>
          <w:color w:val="000000"/>
        </w:rPr>
        <w:t>1 500 000 000</w:t>
      </w:r>
      <w:r>
        <w:rPr>
          <w:rFonts w:cs="Times New Roman"/>
          <w:color w:val="000000"/>
        </w:rPr>
        <w:t xml:space="preserve"> FCFA, immatriculée au Registre du Commerce et du Crédit Mobilier du TOGO, sous le numéro initial </w:t>
      </w:r>
      <w:r>
        <w:rPr>
          <w:rFonts w:hint="default" w:ascii="Times New Roman" w:hAnsi="Times New Roman" w:cs="Times New Roman"/>
          <w:color w:val="000000"/>
          <w:sz w:val="24"/>
          <w:szCs w:val="24"/>
        </w:rPr>
        <w:t>TG-LFW-01-2025-M-12369, Agrément Numéro 36/MF/SG/CAS-IMEC et inscrite sur la liste de l’APSFD sous le numéro T/1/GFLM/2019/257A</w:t>
      </w:r>
      <w:r>
        <w:rPr>
          <w:rFonts w:cs="Times New Roman"/>
          <w:color w:val="000000"/>
        </w:rPr>
        <w:t>, dont le siège social est situé à LOME (TOGO</w:t>
      </w:r>
      <w:bookmarkStart w:id="0" w:name="_Hlk66259236"/>
      <w:r>
        <w:rPr>
          <w:rFonts w:cs="Times New Roman"/>
          <w:color w:val="000000"/>
        </w:rPr>
        <w:t>), Boulevard du 13 Janvier, Quartier Kodjoviakope, 07 BP : 7499 Lomé-TOGO</w:t>
      </w:r>
      <w:bookmarkEnd w:id="0"/>
      <w:r>
        <w:rPr>
          <w:rFonts w:cs="Times New Roman"/>
          <w:color w:val="000000"/>
        </w:rPr>
        <w:t xml:space="preserve">, Tel : 00 228 22 23 68 68/ 00 228 22 23 68 60,  </w:t>
      </w:r>
    </w:p>
    <w:p>
      <w:pPr>
        <w:jc w:val="both"/>
        <w:rPr>
          <w:rFonts w:ascii="Times New Roman" w:hAnsi="Times New Roman" w:cs="Times New Roman"/>
          <w:color w:val="000000"/>
        </w:rPr>
      </w:pPr>
    </w:p>
    <w:p>
      <w:pPr>
        <w:jc w:val="both"/>
        <w:rPr>
          <w:rFonts w:ascii="Times New Roman" w:hAnsi="Times New Roman" w:cs="Times New Roman"/>
          <w:sz w:val="22"/>
          <w:szCs w:val="22"/>
        </w:rPr>
      </w:pPr>
      <w:r>
        <w:rPr>
          <w:rFonts w:cs="Times New Roman"/>
          <w:bCs/>
          <w:iCs/>
          <w:color w:val="000000"/>
        </w:rPr>
        <w:t xml:space="preserve">Représentée par </w:t>
      </w:r>
      <w:r>
        <w:rPr>
          <w:rFonts w:cs="Times New Roman"/>
          <w:b/>
          <w:bCs/>
          <w:iCs/>
          <w:color w:val="000000"/>
        </w:rPr>
        <w:t>Monsieur</w:t>
      </w:r>
      <w:r>
        <w:rPr>
          <w:rFonts w:cs="Times New Roman"/>
          <w:bCs/>
          <w:iCs/>
          <w:color w:val="000000"/>
        </w:rPr>
        <w:t xml:space="preserve"> </w:t>
      </w:r>
      <w:r>
        <w:rPr>
          <w:rFonts w:hint="default" w:cs="Times New Roman"/>
          <w:b/>
          <w:bCs/>
          <w:iCs/>
          <w:sz w:val="24"/>
          <w:szCs w:val="24"/>
        </w:rPr>
        <w:t>Kossi Mawuli KOVE</w:t>
      </w:r>
      <w:r>
        <w:rPr>
          <w:rFonts w:cs="Times New Roman"/>
          <w:bCs/>
          <w:iCs/>
          <w:color w:val="000000"/>
        </w:rPr>
        <w:t xml:space="preserve">, en sa qualité de Directeur Général, dûment habilité, et par délégation de pouvoir à </w:t>
      </w:r>
      <w:r>
        <w:rPr>
          <w:rFonts w:cs="Times New Roman"/>
          <w:b/>
          <w:iCs/>
          <w:color w:val="000000"/>
          <w:sz w:val="24"/>
          <w:szCs w:val="24"/>
        </w:rPr>
        <w:t>Madame Ameh Délali MESSANGAN</w:t>
      </w:r>
      <w:r>
        <w:rPr>
          <w:rFonts w:cs="Times New Roman"/>
          <w:bCs/>
          <w:iCs/>
          <w:color w:val="000000"/>
          <w:sz w:val="24"/>
          <w:szCs w:val="24"/>
        </w:rPr>
        <w:t xml:space="preserve"> épouse </w:t>
      </w:r>
      <w:r>
        <w:rPr>
          <w:rFonts w:cs="Times New Roman"/>
          <w:b/>
          <w:iCs/>
          <w:color w:val="000000"/>
          <w:sz w:val="24"/>
          <w:szCs w:val="24"/>
        </w:rPr>
        <w:t>AMEDEMEGNAH</w:t>
      </w:r>
      <w:r>
        <w:rPr>
          <w:rFonts w:cs="Times New Roman"/>
          <w:bCs/>
          <w:iCs/>
          <w:color w:val="000000"/>
          <w:sz w:val="24"/>
          <w:szCs w:val="24"/>
        </w:rPr>
        <w:t xml:space="preserve">, Responsable juridique, et </w:t>
      </w:r>
      <w:r>
        <w:rPr>
          <w:rFonts w:cs="Times New Roman"/>
          <w:b/>
          <w:bCs/>
          <w:iCs/>
          <w:sz w:val="24"/>
          <w:szCs w:val="24"/>
        </w:rPr>
        <w:t>Monsieur Koffi Djramedo GAMADO</w:t>
      </w:r>
      <w:r>
        <w:rPr>
          <w:rFonts w:cs="Times New Roman"/>
          <w:bCs/>
          <w:iCs/>
          <w:sz w:val="24"/>
          <w:szCs w:val="24"/>
        </w:rPr>
        <w:t>, Head Crédit</w:t>
      </w:r>
      <w:r>
        <w:rPr>
          <w:rFonts w:cs="Times New Roman"/>
          <w:bCs/>
          <w:iCs/>
          <w:color w:val="000000"/>
        </w:rPr>
        <w:t>,</w:t>
      </w:r>
      <w:r>
        <w:rPr>
          <w:rFonts w:cs="Times New Roman"/>
          <w:b/>
          <w:bCs/>
          <w:iCs/>
          <w:color w:val="000000"/>
        </w:rPr>
        <w:t> </w:t>
      </w:r>
      <w:r>
        <w:rPr>
          <w:rFonts w:cs="Times New Roman"/>
          <w:bCs/>
          <w:iCs/>
          <w:color w:val="000000"/>
        </w:rPr>
        <w:t>vertu d’un acte reçu par Me Afiavi S. do REGO-d’Almeida, Notaire à Lomé,</w:t>
      </w:r>
    </w:p>
    <w:p>
      <w:pPr>
        <w:ind w:right="-141"/>
        <w:jc w:val="both"/>
        <w:rPr>
          <w:rFonts w:ascii="Times New Roman" w:hAnsi="Times New Roman" w:cs="Times New Roman"/>
          <w:sz w:val="22"/>
          <w:szCs w:val="22"/>
        </w:rPr>
      </w:pPr>
    </w:p>
    <w:p>
      <w:pPr>
        <w:ind w:right="-141"/>
        <w:jc w:val="right"/>
        <w:rPr>
          <w:rFonts w:ascii="Times New Roman" w:hAnsi="Times New Roman" w:cs="Times New Roman"/>
          <w:i/>
          <w:iCs/>
          <w:sz w:val="22"/>
          <w:szCs w:val="22"/>
        </w:rPr>
      </w:pPr>
      <w:r>
        <w:rPr>
          <w:rFonts w:cs="Times New Roman"/>
          <w:sz w:val="22"/>
          <w:szCs w:val="22"/>
        </w:rPr>
        <w:t xml:space="preserve">Ci-après dénommée « </w:t>
      </w:r>
      <w:r>
        <w:rPr>
          <w:rFonts w:cs="Times New Roman"/>
          <w:b/>
          <w:bCs/>
          <w:sz w:val="22"/>
          <w:szCs w:val="22"/>
        </w:rPr>
        <w:t xml:space="preserve">COFINA TOGO SA », </w:t>
      </w:r>
      <w:r>
        <w:rPr>
          <w:rFonts w:cs="Times New Roman"/>
          <w:b/>
          <w:bCs/>
          <w:i/>
          <w:iCs/>
          <w:sz w:val="22"/>
          <w:szCs w:val="22"/>
        </w:rPr>
        <w:t>d’une part</w:t>
      </w:r>
      <w:r>
        <w:rPr>
          <w:rFonts w:cs="Times New Roman"/>
          <w:i/>
          <w:iCs/>
          <w:sz w:val="22"/>
          <w:szCs w:val="22"/>
        </w:rPr>
        <w:t>,</w:t>
      </w:r>
    </w:p>
    <w:p>
      <w:pPr>
        <w:ind w:right="-141"/>
        <w:jc w:val="both"/>
        <w:rPr>
          <w:rFonts w:ascii="Times New Roman" w:hAnsi="Times New Roman" w:cs="Times New Roman"/>
          <w:i/>
          <w:iCs/>
          <w:sz w:val="22"/>
          <w:szCs w:val="22"/>
        </w:rPr>
      </w:pPr>
    </w:p>
    <w:p>
      <w:pPr>
        <w:ind w:right="-141"/>
        <w:jc w:val="both"/>
        <w:rPr>
          <w:rFonts w:ascii="Times New Roman" w:hAnsi="Times New Roman" w:cs="Times New Roman"/>
          <w:b/>
          <w:bCs/>
          <w:sz w:val="22"/>
          <w:szCs w:val="22"/>
          <w:u w:val="single"/>
        </w:rPr>
      </w:pPr>
      <w:r>
        <w:rPr>
          <w:rFonts w:cs="Times New Roman"/>
          <w:b/>
          <w:bCs/>
          <w:sz w:val="22"/>
          <w:szCs w:val="22"/>
          <w:u w:val="single"/>
        </w:rPr>
        <w:t>ET</w:t>
      </w:r>
    </w:p>
    <w:p>
      <w:pPr>
        <w:ind w:right="-141"/>
        <w:jc w:val="both"/>
        <w:rPr>
          <w:rFonts w:ascii="Times New Roman" w:hAnsi="Times New Roman" w:cs="Times New Roman"/>
          <w:b/>
          <w:i/>
          <w:iCs/>
          <w:sz w:val="22"/>
          <w:szCs w:val="22"/>
        </w:rPr>
      </w:pPr>
    </w:p>
    <w:p>
      <w:pPr>
        <w:ind w:right="-141"/>
        <w:jc w:val="both"/>
        <w:rPr>
          <w:rFonts w:ascii="Times New Roman" w:hAnsi="Times New Roman" w:cs="Times New Roman"/>
          <w:highlight w:val="none"/>
          <w:lang w:val="en-US"/>
        </w:rPr>
      </w:pPr>
      <w:bookmarkStart w:id="1" w:name="_Hlk131079885"/>
      <w:r>
        <w:rPr>
          <w:rFonts w:cs="Times New Roman"/>
          <w:b/>
          <w:bCs/>
          <w:lang w:val="en-US"/>
        </w:rPr>
        <w:t>${civility}</w:t>
      </w:r>
      <w:r>
        <w:rPr>
          <w:rFonts w:cs="Times New Roman"/>
          <w:b/>
          <w:bCs/>
        </w:rPr>
        <w:t xml:space="preserve"> </w:t>
      </w:r>
      <w:r>
        <w:rPr>
          <w:rFonts w:cs="Times New Roman"/>
          <w:b/>
          <w:bCs/>
          <w:lang w:val="en-US"/>
        </w:rPr>
        <w:t>${last_name} ${first_name}, née le</w:t>
      </w:r>
      <w:r>
        <w:rPr>
          <w:rFonts w:cs="Times New Roman"/>
          <w:b/>
          <w:bCs/>
        </w:rPr>
        <w:t xml:space="preserve"> </w:t>
      </w:r>
      <w:r>
        <w:rPr>
          <w:rFonts w:cs="Times New Roman"/>
          <w:b/>
          <w:bCs/>
          <w:lang w:val="en-US"/>
        </w:rPr>
        <w:t>${birth_date_fr} à ${birth_place}</w:t>
      </w:r>
      <w:r>
        <w:rPr>
          <w:rFonts w:cs="Times New Roman"/>
          <w:b/>
          <w:bCs/>
        </w:rPr>
        <w:t xml:space="preserve">, de nationalité </w:t>
      </w:r>
      <w:r>
        <w:rPr>
          <w:rFonts w:cs="Times New Roman"/>
          <w:b/>
          <w:bCs/>
          <w:lang w:val="en-US"/>
        </w:rPr>
        <w:t>${nationality}</w:t>
      </w:r>
      <w:r>
        <w:rPr>
          <w:rFonts w:cs="Times New Roman"/>
          <w:b/>
          <w:bCs/>
        </w:rPr>
        <w:t xml:space="preserve"> domicilié à </w:t>
      </w:r>
      <w:r>
        <w:rPr>
          <w:rFonts w:cs="Times New Roman"/>
          <w:b/>
          <w:bCs/>
          <w:lang w:val="en-US"/>
        </w:rPr>
        <w:t>${home_address}</w:t>
      </w:r>
      <w:r>
        <w:rPr>
          <w:rFonts w:cs="Times New Roman"/>
          <w:b/>
          <w:bCs/>
        </w:rPr>
        <w:t xml:space="preserve"> et titulaire </w:t>
      </w:r>
      <w:r>
        <w:rPr>
          <w:rFonts w:cs="Times New Roman"/>
          <w:b/>
          <w:bCs/>
          <w:lang w:val="en-US"/>
        </w:rPr>
        <w:t>${type_of_identity_document}</w:t>
      </w:r>
      <w:r>
        <w:rPr>
          <w:rFonts w:cs="Times New Roman"/>
          <w:b/>
          <w:bCs/>
        </w:rPr>
        <w:t xml:space="preserve"> ${number_of_identity_document}</w:t>
      </w:r>
      <w:r>
        <w:rPr>
          <w:rFonts w:hint="default" w:cs="Times New Roman"/>
          <w:b/>
          <w:bCs/>
          <w:lang w:val="fr-FR"/>
        </w:rPr>
        <w:t xml:space="preserve"> </w:t>
      </w:r>
      <w:r>
        <w:rPr>
          <w:rFonts w:cs="Times New Roman"/>
          <w:b/>
          <w:bCs/>
        </w:rPr>
        <w:t>${date_of_issue_of_identity_document</w:t>
      </w:r>
      <w:r>
        <w:rPr>
          <w:rFonts w:cs="Times New Roman"/>
          <w:b/>
          <w:bCs/>
          <w:lang w:val="en-US"/>
        </w:rPr>
        <w:t>_fr</w:t>
      </w:r>
      <w:r>
        <w:rPr>
          <w:rFonts w:cs="Times New Roman"/>
          <w:b/>
          <w:bCs/>
        </w:rPr>
        <w:t>} Fonction : ${function}, Tél : ${phone_number}</w:t>
      </w:r>
      <w:r>
        <w:rPr>
          <w:rFonts w:cs="Times New Roman"/>
          <w:b/>
          <w:bCs/>
          <w:lang w:val="en-US"/>
        </w:rPr>
        <w:t>.</w:t>
      </w:r>
      <w:bookmarkEnd w:id="1"/>
    </w:p>
    <w:p>
      <w:pPr>
        <w:ind w:right="-141"/>
        <w:jc w:val="both"/>
        <w:rPr>
          <w:rFonts w:ascii="Times New Roman" w:hAnsi="Times New Roman" w:cs="Times New Roman"/>
          <w:sz w:val="22"/>
          <w:szCs w:val="22"/>
        </w:rPr>
      </w:pPr>
    </w:p>
    <w:p>
      <w:pPr>
        <w:ind w:right="-141"/>
        <w:jc w:val="right"/>
        <w:rPr>
          <w:rFonts w:ascii="Times New Roman" w:hAnsi="Times New Roman" w:cs="Times New Roman"/>
          <w:b/>
          <w:bCs/>
          <w:i/>
          <w:iCs/>
          <w:sz w:val="22"/>
          <w:szCs w:val="22"/>
        </w:rPr>
      </w:pPr>
      <w:r>
        <w:rPr>
          <w:rFonts w:cs="Times New Roman"/>
          <w:sz w:val="22"/>
          <w:szCs w:val="22"/>
        </w:rPr>
        <w:t xml:space="preserve">Ci-après dénommée </w:t>
      </w:r>
      <w:r>
        <w:rPr>
          <w:rFonts w:cs="Times New Roman"/>
          <w:b/>
          <w:bCs/>
          <w:sz w:val="22"/>
          <w:szCs w:val="22"/>
        </w:rPr>
        <w:t xml:space="preserve">« la Caution » </w:t>
      </w:r>
      <w:r>
        <w:rPr>
          <w:rFonts w:cs="Times New Roman"/>
          <w:b/>
          <w:bCs/>
          <w:i/>
          <w:iCs/>
          <w:sz w:val="22"/>
          <w:szCs w:val="22"/>
        </w:rPr>
        <w:t>d’autre part</w:t>
      </w:r>
    </w:p>
    <w:p>
      <w:pPr>
        <w:ind w:right="-141"/>
        <w:jc w:val="both"/>
        <w:rPr>
          <w:rFonts w:ascii="Times New Roman" w:hAnsi="Times New Roman" w:cs="Times New Roman"/>
          <w:b/>
          <w:bCs/>
          <w:i/>
          <w:iCs/>
          <w:sz w:val="22"/>
          <w:szCs w:val="22"/>
        </w:rPr>
      </w:pPr>
    </w:p>
    <w:p>
      <w:pPr>
        <w:rPr>
          <w:rFonts w:ascii="Times New Roman" w:hAnsi="Times New Roman" w:cs="Times New Roman"/>
          <w:b/>
          <w:bCs/>
          <w:sz w:val="22"/>
          <w:szCs w:val="22"/>
        </w:rPr>
      </w:pPr>
      <w:r>
        <w:br w:type="page"/>
      </w:r>
    </w:p>
    <w:p>
      <w:pPr>
        <w:spacing w:before="0" w:after="0"/>
        <w:ind w:right="-141"/>
        <w:jc w:val="both"/>
        <w:rPr>
          <w:rFonts w:ascii="Times New Roman" w:hAnsi="Times New Roman" w:cs="Times New Roman"/>
          <w:b/>
          <w:bCs/>
          <w:sz w:val="22"/>
          <w:szCs w:val="22"/>
        </w:rPr>
      </w:pPr>
      <w:r>
        <w:rPr>
          <w:rFonts w:cs="Times New Roman"/>
          <w:b/>
          <w:bCs/>
          <w:sz w:val="22"/>
          <w:szCs w:val="22"/>
        </w:rPr>
        <w:t>Il a été convenu et arrêté ce qui suit :</w:t>
      </w:r>
    </w:p>
    <w:p>
      <w:pPr>
        <w:ind w:right="-141"/>
        <w:jc w:val="both"/>
        <w:rPr>
          <w:rFonts w:ascii="Times New Roman" w:hAnsi="Times New Roman" w:cs="Times New Roman"/>
          <w:i/>
          <w:iCs/>
          <w:sz w:val="22"/>
          <w:szCs w:val="22"/>
        </w:rPr>
      </w:pPr>
    </w:p>
    <w:p>
      <w:pPr>
        <w:ind w:right="-141"/>
        <w:jc w:val="both"/>
        <w:rPr>
          <w:rFonts w:ascii="Times New Roman" w:hAnsi="Times New Roman" w:cs="Times New Roman"/>
          <w:b/>
          <w:bCs/>
          <w:sz w:val="22"/>
          <w:szCs w:val="22"/>
        </w:rPr>
      </w:pPr>
      <w:r>
        <w:rPr>
          <w:rFonts w:cs="Times New Roman"/>
          <w:b/>
          <w:bCs/>
          <w:sz w:val="22"/>
          <w:szCs w:val="22"/>
          <w:u w:val="single"/>
        </w:rPr>
        <w:t>ARTICLE Premier</w:t>
      </w:r>
      <w:r>
        <w:rPr>
          <w:rFonts w:cs="Times New Roman"/>
          <w:b/>
          <w:bCs/>
          <w:sz w:val="22"/>
          <w:szCs w:val="22"/>
        </w:rPr>
        <w:t xml:space="preserve">. </w:t>
      </w:r>
      <w:r>
        <w:rPr>
          <w:rFonts w:cs="Times New Roman"/>
          <w:b/>
          <w:bCs/>
          <w:i/>
          <w:iCs/>
          <w:sz w:val="22"/>
          <w:szCs w:val="22"/>
        </w:rPr>
        <w:t xml:space="preserve">– </w:t>
      </w:r>
      <w:r>
        <w:rPr>
          <w:rFonts w:cs="Times New Roman"/>
          <w:b/>
          <w:bCs/>
          <w:sz w:val="22"/>
          <w:szCs w:val="22"/>
        </w:rPr>
        <w:t xml:space="preserve">OBJET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b/>
          <w:bCs/>
          <w:iCs/>
          <w:color w:val="000000"/>
          <w:highlight w:val="none"/>
        </w:rPr>
      </w:pPr>
      <w:r>
        <w:rPr>
          <w:rFonts w:cs="Times New Roman"/>
          <w:b/>
          <w:bCs/>
          <w:lang w:val="en-US"/>
        </w:rPr>
        <w:t>${civility}</w:t>
      </w:r>
      <w:r>
        <w:rPr>
          <w:rFonts w:cs="Times New Roman"/>
          <w:b/>
          <w:bCs/>
        </w:rPr>
        <w:t xml:space="preserve"> - </w:t>
      </w:r>
      <w:r>
        <w:rPr>
          <w:rFonts w:cs="Times New Roman"/>
          <w:b/>
          <w:bCs/>
          <w:lang w:val="en-US"/>
        </w:rPr>
        <w:t>${last_name} ${first_name}</w:t>
      </w:r>
      <w:r>
        <w:rPr>
          <w:rFonts w:cs="Times New Roman"/>
          <w:b/>
          <w:bCs/>
        </w:rPr>
        <w:t xml:space="preserve"> </w:t>
      </w:r>
      <w:r>
        <w:rPr>
          <w:rFonts w:cs="Times New Roman"/>
          <w:sz w:val="22"/>
          <w:szCs w:val="22"/>
        </w:rPr>
        <w:t>se porte Caution aux fins de garantir à titre personnel et solidaire, le remboursement de toutes les sommes dont la cautionnée</w:t>
      </w:r>
      <w:r>
        <w:rPr>
          <w:rFonts w:eastAsia="Calibri" w:cs="Times New Roman"/>
          <w:b/>
          <w:bCs/>
          <w:color w:val="000000"/>
          <w:sz w:val="22"/>
          <w:szCs w:val="22"/>
          <w:lang w:eastAsia="en-US"/>
        </w:rPr>
        <w:t xml:space="preserve"> </w:t>
      </w:r>
      <w:r>
        <w:rPr>
          <w:rFonts w:cs="Times New Roman"/>
          <w:b/>
          <w:bCs/>
          <w:lang w:val="en-US"/>
        </w:rPr>
        <w:t>${contract.verbal_trial.</w:t>
      </w:r>
      <w:r>
        <w:rPr>
          <w:rFonts w:hint="default" w:cs="Times New Roman"/>
          <w:b/>
          <w:bCs/>
          <w:lang w:val="en-US"/>
        </w:rPr>
        <w:t>entity_name</w:t>
      </w:r>
      <w:r>
        <w:rPr>
          <w:rFonts w:cs="Times New Roman"/>
          <w:b/>
          <w:bCs/>
          <w:lang w:val="en-US"/>
        </w:rPr>
        <w:t>}</w:t>
      </w:r>
      <w:r>
        <w:rPr>
          <w:rFonts w:cs="Times New Roman"/>
          <w:b/>
          <w:bCs/>
          <w:iCs/>
          <w:color w:val="000000"/>
        </w:rPr>
        <w:t xml:space="preserve"> </w:t>
      </w:r>
      <w:r>
        <w:rPr>
          <w:rFonts w:cs="Times New Roman"/>
          <w:sz w:val="22"/>
          <w:szCs w:val="22"/>
        </w:rPr>
        <w:t xml:space="preserve">client titulaire du compte </w:t>
      </w:r>
      <w:bookmarkStart w:id="2" w:name="_Hlk71196002"/>
      <w:r>
        <w:rPr>
          <w:rFonts w:cs="Times New Roman"/>
          <w:b/>
          <w:sz w:val="22"/>
          <w:szCs w:val="22"/>
        </w:rPr>
        <w:t>N°</w:t>
      </w:r>
      <w:bookmarkEnd w:id="2"/>
      <w:r>
        <w:rPr>
          <w:rFonts w:cs="Times New Roman"/>
          <w:b/>
          <w:sz w:val="22"/>
          <w:szCs w:val="22"/>
        </w:rPr>
        <w:t> </w:t>
      </w:r>
      <w:r>
        <w:rPr>
          <w:rFonts w:cs="Times New Roman"/>
          <w:b/>
          <w:sz w:val="22"/>
          <w:szCs w:val="22"/>
          <w:lang w:val="en-US"/>
        </w:rPr>
        <w:t>${contract.verbal_trial</w:t>
      </w:r>
      <w:r>
        <w:rPr>
          <w:rFonts w:cs="Times New Roman"/>
          <w:b/>
          <w:sz w:val="22"/>
          <w:szCs w:val="22"/>
        </w:rPr>
        <w:t xml:space="preserve">.account_number} </w:t>
      </w:r>
      <w:r>
        <w:rPr>
          <w:rFonts w:cs="Times New Roman"/>
          <w:sz w:val="22"/>
          <w:szCs w:val="22"/>
        </w:rPr>
        <w:t>ouvert dans les livres de COFINA Togo SA, se trouve ou pourrait se trouver débiteur à raison du prêt qui lui est consenti, jusqu’à concurrence d’un montant maximum de</w:t>
      </w:r>
      <w:r>
        <w:rPr>
          <w:rFonts w:cs="Times New Roman"/>
          <w:b/>
          <w:sz w:val="22"/>
          <w:szCs w:val="22"/>
        </w:rPr>
        <w:t xml:space="preserve"> </w:t>
      </w:r>
      <w:bookmarkStart w:id="3" w:name="_Hlk71203108"/>
      <w:r>
        <w:rPr>
          <w:rFonts w:cs="Times New Roman"/>
          <w:b/>
          <w:bCs/>
          <w:sz w:val="22"/>
          <w:szCs w:val="22"/>
        </w:rPr>
        <w:t>${</w:t>
      </w:r>
      <w:r>
        <w:rPr>
          <w:rFonts w:cs="Times New Roman"/>
          <w:b/>
          <w:bCs/>
          <w:sz w:val="22"/>
          <w:szCs w:val="22"/>
          <w:lang w:val="en-US"/>
        </w:rPr>
        <w:t>contract.</w:t>
      </w:r>
      <w:r>
        <w:rPr>
          <w:rFonts w:cs="Times New Roman"/>
          <w:b/>
          <w:bCs/>
          <w:sz w:val="22"/>
          <w:szCs w:val="22"/>
        </w:rPr>
        <w:t>total_to_pay.fr}</w:t>
      </w:r>
      <w:r>
        <w:rPr>
          <w:rFonts w:cs="Times New Roman"/>
          <w:b/>
          <w:bCs/>
          <w:sz w:val="22"/>
          <w:szCs w:val="22"/>
          <w:lang w:val="en-US"/>
        </w:rPr>
        <w:t xml:space="preserve"> (${contract.total_to_pay})</w:t>
      </w:r>
      <w:r>
        <w:rPr>
          <w:rFonts w:cs="Times New Roman"/>
          <w:b/>
          <w:bCs/>
          <w:sz w:val="22"/>
          <w:szCs w:val="22"/>
        </w:rPr>
        <w:t xml:space="preserve"> </w:t>
      </w:r>
      <w:r>
        <w:rPr>
          <w:rFonts w:cs="Times New Roman"/>
          <w:b/>
          <w:sz w:val="22"/>
          <w:szCs w:val="22"/>
        </w:rPr>
        <w:t>FCFA</w:t>
      </w:r>
      <w:r>
        <w:rPr>
          <w:rFonts w:cs="Times New Roman"/>
          <w:b/>
          <w:bCs/>
          <w:i/>
          <w:iCs/>
          <w:sz w:val="22"/>
          <w:szCs w:val="22"/>
        </w:rPr>
        <w:t xml:space="preserve"> </w:t>
      </w:r>
      <w:r>
        <w:rPr>
          <w:rFonts w:cs="Times New Roman"/>
          <w:sz w:val="22"/>
          <w:szCs w:val="22"/>
        </w:rPr>
        <w:t xml:space="preserve">en principal, plus intérêts, commissions, pénalités, frais et accessoires quelconques. </w:t>
      </w:r>
      <w:bookmarkEnd w:id="3"/>
    </w:p>
    <w:p>
      <w:pPr>
        <w:tabs>
          <w:tab w:val="left" w:pos="6450"/>
        </w:tabs>
        <w:ind w:right="-141"/>
        <w:jc w:val="both"/>
        <w:rPr>
          <w:rFonts w:ascii="Times New Roman" w:hAnsi="Times New Roman" w:cs="Times New Roman"/>
          <w:b/>
          <w:bCs/>
          <w:sz w:val="22"/>
          <w:szCs w:val="22"/>
        </w:rPr>
      </w:pPr>
      <w:r>
        <w:rPr>
          <w:rFonts w:cs="Times New Roman"/>
          <w:b/>
          <w:bCs/>
          <w:sz w:val="22"/>
          <w:szCs w:val="22"/>
        </w:rPr>
        <w:tab/>
      </w:r>
    </w:p>
    <w:p>
      <w:pPr>
        <w:tabs>
          <w:tab w:val="left" w:pos="6450"/>
        </w:tabs>
        <w:ind w:right="-141"/>
        <w:jc w:val="both"/>
        <w:rPr>
          <w:rFonts w:ascii="Times New Roman" w:hAnsi="Times New Roman" w:cs="Times New Roman"/>
          <w:b/>
          <w:bCs/>
          <w:sz w:val="22"/>
          <w:szCs w:val="22"/>
        </w:rPr>
      </w:pPr>
    </w:p>
    <w:p>
      <w:pPr>
        <w:ind w:right="-141"/>
        <w:jc w:val="both"/>
        <w:rPr>
          <w:rFonts w:ascii="Times New Roman" w:hAnsi="Times New Roman" w:cs="Times New Roman"/>
          <w:b/>
          <w:bCs/>
          <w:sz w:val="22"/>
          <w:szCs w:val="22"/>
        </w:rPr>
      </w:pPr>
      <w:r>
        <w:rPr>
          <w:rFonts w:cs="Times New Roman"/>
          <w:b/>
          <w:bCs/>
          <w:sz w:val="22"/>
          <w:szCs w:val="22"/>
          <w:u w:val="single"/>
        </w:rPr>
        <w:t>ARTICLE 2</w:t>
      </w:r>
      <w:r>
        <w:rPr>
          <w:rFonts w:cs="Times New Roman"/>
          <w:b/>
          <w:bCs/>
          <w:sz w:val="22"/>
          <w:szCs w:val="22"/>
        </w:rPr>
        <w:t xml:space="preserve">. – ETENDUE DU CAUTIONNEMENT </w:t>
      </w:r>
    </w:p>
    <w:p>
      <w:pPr>
        <w:ind w:right="-141"/>
        <w:jc w:val="both"/>
        <w:rPr>
          <w:rFonts w:ascii="Times New Roman" w:hAnsi="Times New Roman" w:cs="Times New Roman"/>
          <w:b/>
          <w:bCs/>
          <w:sz w:val="22"/>
          <w:szCs w:val="22"/>
        </w:rPr>
      </w:pPr>
    </w:p>
    <w:p>
      <w:pPr>
        <w:ind w:right="1"/>
        <w:jc w:val="both"/>
        <w:rPr>
          <w:rFonts w:ascii="Times New Roman" w:hAnsi="Times New Roman" w:cs="Times New Roman"/>
          <w:sz w:val="22"/>
          <w:szCs w:val="22"/>
        </w:rPr>
      </w:pPr>
      <w:r>
        <w:rPr>
          <w:rFonts w:cs="Times New Roman"/>
          <w:sz w:val="22"/>
          <w:szCs w:val="22"/>
        </w:rPr>
        <w:t>Le présent engagement oblige la Caution, à titre solidaire et personnel, sur tous ses biens meubles et immeubles, à payer à COFINA Togo SA ce que lui doit ou lui devra le Cautionné au cas où le client Cautionné ne pourrait faire face à ses obligations contractuelles directes et indirectes, pour un quelconque motif.</w:t>
      </w:r>
    </w:p>
    <w:p>
      <w:pPr>
        <w:ind w:right="1"/>
        <w:jc w:val="both"/>
        <w:rPr>
          <w:rFonts w:ascii="Times New Roman" w:hAnsi="Times New Roman" w:cs="Times New Roman"/>
          <w:sz w:val="22"/>
          <w:szCs w:val="22"/>
        </w:rPr>
      </w:pPr>
    </w:p>
    <w:p>
      <w:pPr>
        <w:ind w:right="1"/>
        <w:jc w:val="both"/>
        <w:rPr>
          <w:rFonts w:ascii="Times New Roman" w:hAnsi="Times New Roman" w:cs="Times New Roman"/>
          <w:i/>
          <w:iCs/>
          <w:sz w:val="22"/>
          <w:szCs w:val="22"/>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3</w:t>
      </w:r>
      <w:r>
        <w:rPr>
          <w:rFonts w:cs="Times New Roman"/>
          <w:b/>
          <w:bCs/>
          <w:i/>
          <w:iCs/>
          <w:sz w:val="22"/>
          <w:szCs w:val="22"/>
        </w:rPr>
        <w:t xml:space="preserve">. – </w:t>
      </w:r>
      <w:r>
        <w:rPr>
          <w:rFonts w:cs="Times New Roman"/>
          <w:b/>
          <w:bCs/>
          <w:sz w:val="22"/>
          <w:szCs w:val="22"/>
        </w:rPr>
        <w:t xml:space="preserve">CARACTERISTIQUES DU CAUTIONNEMENT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La Caution, par les présentes, renonce expressément aux bénéfices de discussion et de division tant avec le débiteur principal qu’avec tous coobligés.</w:t>
      </w: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4</w:t>
      </w:r>
      <w:r>
        <w:rPr>
          <w:rFonts w:cs="Times New Roman"/>
          <w:b/>
          <w:bCs/>
          <w:i/>
          <w:iCs/>
          <w:sz w:val="22"/>
          <w:szCs w:val="22"/>
        </w:rPr>
        <w:t xml:space="preserve">. – </w:t>
      </w:r>
      <w:r>
        <w:rPr>
          <w:rFonts w:cs="Times New Roman"/>
          <w:b/>
          <w:bCs/>
          <w:sz w:val="22"/>
          <w:szCs w:val="22"/>
        </w:rPr>
        <w:t xml:space="preserve">DECLARATIONS ET ENGAGEMENT DE LA CAUTION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La Caution déclare avoir pris personnellement connaissance et vérifié la situation financière du</w:t>
      </w:r>
    </w:p>
    <w:p>
      <w:pPr>
        <w:ind w:right="-141"/>
        <w:jc w:val="both"/>
        <w:rPr>
          <w:rFonts w:ascii="Times New Roman" w:hAnsi="Times New Roman" w:cs="Times New Roman"/>
          <w:sz w:val="22"/>
          <w:szCs w:val="22"/>
        </w:rPr>
      </w:pPr>
      <w:r>
        <w:rPr>
          <w:rFonts w:cs="Times New Roman"/>
          <w:sz w:val="22"/>
          <w:szCs w:val="22"/>
        </w:rPr>
        <w:t>Cautionné au moment de la signature des présentes.</w:t>
      </w:r>
    </w:p>
    <w:p>
      <w:pPr>
        <w:ind w:right="-141"/>
        <w:jc w:val="both"/>
        <w:rPr>
          <w:rFonts w:ascii="Times New Roman" w:hAnsi="Times New Roman" w:cs="Times New Roman"/>
          <w:sz w:val="22"/>
          <w:szCs w:val="22"/>
        </w:rPr>
      </w:pPr>
    </w:p>
    <w:p>
      <w:pPr>
        <w:ind w:right="-141"/>
        <w:jc w:val="both"/>
        <w:rPr>
          <w:rFonts w:ascii="Times New Roman" w:hAnsi="Times New Roman" w:cs="Times New Roman"/>
          <w:sz w:val="22"/>
          <w:szCs w:val="22"/>
        </w:rPr>
      </w:pPr>
      <w:r>
        <w:rPr>
          <w:rFonts w:cs="Times New Roman"/>
          <w:sz w:val="22"/>
          <w:szCs w:val="22"/>
        </w:rPr>
        <w:t xml:space="preserve">Elle s’engage expressément à ne pas se prévaloir des dispositions de l’article 23 alinéa 3 de l’Acte Uniforme OHADA portant Organisation des Sûretés et toutes autres dispositions qui, sans décharger la Caution de son engagement, l’autorise à poursuivre le Cautionné pour le contraindre au paiement ou obtenir une garantie ou une mesure conservatoire, au cas de délais de paiement accordés à celui-ci par </w:t>
      </w:r>
      <w:bookmarkStart w:id="4" w:name="_Hlk66263637"/>
      <w:r>
        <w:rPr>
          <w:rFonts w:cs="Times New Roman"/>
          <w:sz w:val="22"/>
          <w:szCs w:val="22"/>
        </w:rPr>
        <w:t xml:space="preserve">COFINA Togo SA. </w:t>
      </w:r>
      <w:bookmarkEnd w:id="4"/>
      <w:r>
        <w:rPr>
          <w:rFonts w:cs="Times New Roman"/>
          <w:sz w:val="22"/>
          <w:szCs w:val="22"/>
        </w:rPr>
        <w:t xml:space="preserve">Dès lors, si le cautionné obtient de tels délais de la part de COFINA Togo SA. La Caution qui reste tenue ne pourra poursuivre le Cautionné avant l’expiration de ces délais.  </w:t>
      </w:r>
    </w:p>
    <w:p>
      <w:pPr>
        <w:ind w:right="-141"/>
        <w:jc w:val="both"/>
        <w:rPr>
          <w:rFonts w:ascii="Times New Roman" w:hAnsi="Times New Roman" w:cs="Times New Roman"/>
          <w:sz w:val="22"/>
          <w:szCs w:val="22"/>
        </w:rPr>
      </w:pPr>
    </w:p>
    <w:p>
      <w:pPr>
        <w:ind w:right="-141"/>
        <w:jc w:val="both"/>
        <w:rPr>
          <w:rFonts w:ascii="Times New Roman" w:hAnsi="Times New Roman" w:cs="Times New Roman"/>
          <w:sz w:val="22"/>
          <w:szCs w:val="22"/>
        </w:rPr>
      </w:pPr>
      <w:bookmarkStart w:id="5" w:name="_Hlk66263678"/>
      <w:r>
        <w:rPr>
          <w:rFonts w:cs="Times New Roman"/>
          <w:sz w:val="22"/>
          <w:szCs w:val="22"/>
        </w:rPr>
        <w:t xml:space="preserve">La Caution </w:t>
      </w:r>
      <w:bookmarkEnd w:id="5"/>
      <w:r>
        <w:rPr>
          <w:rFonts w:cs="Times New Roman"/>
          <w:sz w:val="22"/>
          <w:szCs w:val="22"/>
        </w:rPr>
        <w:t xml:space="preserve">s’engage expressément à ne pas se prévaloir de l’article 35 alinéa de l’Acte Uniforme OHADA portant Organisation des Sûretés et de toutes autres dispositions qui ont pour effet de la faire venir en concours avec COFINA Togo SA tant que cette dernière n’aura pas été désintéressée de la totalité des sommes dues en principal, intérêts, commissions, frais et de tous accessoires qui lui seront dues par le débiteur cautionné. </w:t>
      </w:r>
    </w:p>
    <w:p>
      <w:pPr>
        <w:ind w:right="-141"/>
        <w:jc w:val="both"/>
        <w:rPr>
          <w:rFonts w:ascii="Times New Roman" w:hAnsi="Times New Roman" w:cs="Times New Roman"/>
          <w:sz w:val="22"/>
          <w:szCs w:val="22"/>
        </w:rPr>
      </w:pPr>
    </w:p>
    <w:p>
      <w:pPr>
        <w:ind w:right="-141"/>
        <w:jc w:val="both"/>
        <w:rPr>
          <w:rFonts w:ascii="Times New Roman" w:hAnsi="Times New Roman" w:cs="Times New Roman"/>
          <w:b/>
          <w:bCs/>
          <w:sz w:val="22"/>
          <w:szCs w:val="22"/>
        </w:rPr>
      </w:pPr>
      <w:r>
        <w:rPr>
          <w:rFonts w:cs="Times New Roman"/>
          <w:b/>
          <w:bCs/>
          <w:sz w:val="22"/>
          <w:szCs w:val="22"/>
          <w:u w:val="single"/>
        </w:rPr>
        <w:t>ARTICLE 5</w:t>
      </w:r>
      <w:r>
        <w:rPr>
          <w:rFonts w:cs="Times New Roman"/>
          <w:b/>
          <w:bCs/>
          <w:i/>
          <w:iCs/>
          <w:sz w:val="22"/>
          <w:szCs w:val="22"/>
        </w:rPr>
        <w:t xml:space="preserve">. – </w:t>
      </w:r>
      <w:r>
        <w:rPr>
          <w:rFonts w:cs="Times New Roman"/>
          <w:b/>
          <w:bCs/>
          <w:sz w:val="22"/>
          <w:szCs w:val="22"/>
        </w:rPr>
        <w:t xml:space="preserve">EXIGIBILITE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Toutes les sommes dues à COFINA Togo SA en principal, intérêts, commissions, frais et accessoires au titre du prêt garanti deviendront, sauf décision contraire de COFINA Togo SA immédiatement exigibles dès réception par la Caution d’une mise en demeure faite par COFINA Togo SA par lettre recommandée avec demande d’avis de réception en cas de survenance de l’un des événements ci-dessous :</w:t>
      </w:r>
    </w:p>
    <w:p>
      <w:pPr>
        <w:ind w:right="-141"/>
        <w:jc w:val="both"/>
        <w:rPr>
          <w:rFonts w:ascii="Times New Roman" w:hAnsi="Times New Roman" w:cs="Times New Roman"/>
          <w:sz w:val="22"/>
          <w:szCs w:val="22"/>
        </w:rPr>
      </w:pPr>
    </w:p>
    <w:p>
      <w:pPr>
        <w:numPr>
          <w:ilvl w:val="0"/>
          <w:numId w:val="1"/>
        </w:numPr>
        <w:ind w:left="851" w:right="-141" w:hanging="397"/>
        <w:jc w:val="both"/>
        <w:rPr>
          <w:rFonts w:ascii="Times New Roman" w:hAnsi="Times New Roman" w:cs="Times New Roman"/>
          <w:sz w:val="22"/>
          <w:szCs w:val="22"/>
        </w:rPr>
      </w:pPr>
      <w:r>
        <w:rPr>
          <w:rFonts w:cs="Times New Roman"/>
          <w:sz w:val="22"/>
          <w:szCs w:val="22"/>
        </w:rPr>
        <w:t>Clôture du compte du client débiteur principal ou du compte de la Caution si celle-ci est</w:t>
      </w:r>
    </w:p>
    <w:p>
      <w:pPr>
        <w:ind w:right="-141"/>
        <w:jc w:val="both"/>
        <w:rPr>
          <w:rFonts w:ascii="Times New Roman" w:hAnsi="Times New Roman" w:cs="Times New Roman"/>
          <w:sz w:val="22"/>
          <w:szCs w:val="22"/>
        </w:rPr>
      </w:pPr>
      <w:r>
        <w:rPr>
          <w:rFonts w:cs="Times New Roman"/>
          <w:sz w:val="22"/>
          <w:szCs w:val="22"/>
        </w:rPr>
        <w:t xml:space="preserve">Cliente de COFINA Togo SA pour quelque cause que ce soit ; </w:t>
      </w:r>
    </w:p>
    <w:p>
      <w:pPr>
        <w:ind w:right="-141"/>
        <w:jc w:val="both"/>
        <w:rPr>
          <w:rFonts w:ascii="Times New Roman" w:hAnsi="Times New Roman" w:cs="Times New Roman"/>
          <w:sz w:val="22"/>
          <w:szCs w:val="22"/>
        </w:rPr>
      </w:pPr>
    </w:p>
    <w:p>
      <w:pPr>
        <w:numPr>
          <w:ilvl w:val="0"/>
          <w:numId w:val="2"/>
        </w:numPr>
        <w:ind w:left="851" w:right="-141" w:hanging="397"/>
        <w:jc w:val="both"/>
        <w:rPr>
          <w:rFonts w:ascii="Times New Roman" w:hAnsi="Times New Roman" w:cs="Times New Roman"/>
          <w:sz w:val="22"/>
          <w:szCs w:val="22"/>
        </w:rPr>
      </w:pPr>
      <w:r>
        <w:rPr>
          <w:rFonts w:cs="Times New Roman"/>
          <w:sz w:val="22"/>
          <w:szCs w:val="22"/>
        </w:rPr>
        <w:t>Non-paiement pour quelque cause que ce soit par le client cautionné de toute somme due en principal, intérêts, commissions, frais et accessoires aux dates d’échéances prévues au titre du prêt, après une mise en demeure restée infructueuse ;</w:t>
      </w:r>
    </w:p>
    <w:p>
      <w:pPr>
        <w:ind w:right="-141"/>
        <w:jc w:val="both"/>
        <w:rPr>
          <w:rFonts w:ascii="Times New Roman" w:hAnsi="Times New Roman" w:cs="Times New Roman"/>
          <w:sz w:val="22"/>
          <w:szCs w:val="22"/>
        </w:rPr>
      </w:pPr>
    </w:p>
    <w:p>
      <w:pPr>
        <w:numPr>
          <w:ilvl w:val="0"/>
          <w:numId w:val="2"/>
        </w:numPr>
        <w:ind w:left="851" w:right="-141" w:hanging="397"/>
        <w:jc w:val="both"/>
        <w:rPr>
          <w:rFonts w:ascii="Times New Roman" w:hAnsi="Times New Roman" w:cs="Times New Roman"/>
          <w:sz w:val="22"/>
          <w:szCs w:val="22"/>
        </w:rPr>
      </w:pPr>
      <w:r>
        <w:rPr>
          <w:rFonts w:cs="Times New Roman"/>
          <w:sz w:val="22"/>
          <w:szCs w:val="22"/>
        </w:rPr>
        <w:t>En cas d’admission du cautionné à une procédure collective d’apurement du passif ou à toute circonstance analogue ;</w:t>
      </w:r>
    </w:p>
    <w:p>
      <w:pPr>
        <w:ind w:left="454" w:right="-141"/>
        <w:jc w:val="both"/>
        <w:rPr>
          <w:rFonts w:ascii="Times New Roman" w:hAnsi="Times New Roman" w:cs="Times New Roman"/>
          <w:sz w:val="22"/>
          <w:szCs w:val="22"/>
        </w:rPr>
      </w:pPr>
    </w:p>
    <w:p>
      <w:pPr>
        <w:numPr>
          <w:ilvl w:val="0"/>
          <w:numId w:val="2"/>
        </w:numPr>
        <w:ind w:left="851" w:right="-141" w:hanging="397"/>
        <w:jc w:val="both"/>
        <w:rPr>
          <w:rFonts w:ascii="Times New Roman" w:hAnsi="Times New Roman" w:cs="Times New Roman"/>
          <w:sz w:val="22"/>
          <w:szCs w:val="22"/>
        </w:rPr>
      </w:pPr>
      <w:r>
        <w:rPr>
          <w:rFonts w:cs="Times New Roman"/>
          <w:sz w:val="22"/>
          <w:szCs w:val="22"/>
        </w:rPr>
        <w:t>En cas de déchéance du terme applicable au client cautionné tel que définie par le Contrat de prêt ;</w:t>
      </w:r>
    </w:p>
    <w:p>
      <w:pPr>
        <w:ind w:right="-141"/>
        <w:jc w:val="both"/>
        <w:rPr>
          <w:rFonts w:ascii="Times New Roman" w:hAnsi="Times New Roman" w:cs="Times New Roman"/>
          <w:sz w:val="22"/>
          <w:szCs w:val="22"/>
        </w:rPr>
      </w:pPr>
    </w:p>
    <w:p>
      <w:pPr>
        <w:numPr>
          <w:ilvl w:val="0"/>
          <w:numId w:val="2"/>
        </w:numPr>
        <w:ind w:left="851" w:right="-141" w:hanging="397"/>
        <w:jc w:val="both"/>
        <w:rPr>
          <w:rFonts w:ascii="Times New Roman" w:hAnsi="Times New Roman" w:cs="Times New Roman"/>
          <w:sz w:val="22"/>
          <w:szCs w:val="22"/>
        </w:rPr>
      </w:pPr>
      <w:r>
        <w:rPr>
          <w:rFonts w:cs="Times New Roman"/>
          <w:sz w:val="22"/>
          <w:szCs w:val="22"/>
        </w:rPr>
        <w:t>Au cas où plus généralement la Caution n’exécuterait pas l’une quelconque de ses obligations résultant des présentes, et s’il n’y était pas remédié dans un délai de quinze (15) jours à compter de la mise en demeure faite par COFINA Togo SA à la Caution.</w:t>
      </w:r>
    </w:p>
    <w:p>
      <w:pPr>
        <w:ind w:right="-141"/>
        <w:jc w:val="both"/>
        <w:rPr>
          <w:rFonts w:ascii="Times New Roman" w:hAnsi="Times New Roman" w:cs="Times New Roman"/>
          <w:sz w:val="22"/>
          <w:szCs w:val="22"/>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6</w:t>
      </w:r>
      <w:r>
        <w:rPr>
          <w:rFonts w:cs="Times New Roman"/>
          <w:b/>
          <w:bCs/>
          <w:sz w:val="22"/>
          <w:szCs w:val="22"/>
        </w:rPr>
        <w:t xml:space="preserve">. - INDIVISIBILITE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Toutes les obligations, résultant du présent contrat pour la Caution, sont stipulées indivisibles de telle sorte que leur exécution pourra être réclamée pour leur totalité à n’importe lequel des héritiers ou ayant droits de la Caution</w:t>
      </w: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7</w:t>
      </w:r>
      <w:r>
        <w:rPr>
          <w:rFonts w:cs="Times New Roman"/>
          <w:b/>
          <w:bCs/>
          <w:sz w:val="22"/>
          <w:szCs w:val="22"/>
        </w:rPr>
        <w:t xml:space="preserve">. – DUREE DE VALIDITE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b/>
          <w:bCs/>
          <w:sz w:val="22"/>
          <w:szCs w:val="22"/>
        </w:rPr>
      </w:pPr>
      <w:r>
        <w:rPr>
          <w:rFonts w:cs="Times New Roman"/>
          <w:sz w:val="22"/>
          <w:szCs w:val="22"/>
        </w:rPr>
        <w:t>Le présent Cautionnement restera en vigueur tant que le débiteur cautionné restera devoir une</w:t>
      </w:r>
      <w:r>
        <w:rPr>
          <w:rFonts w:cs="Times New Roman"/>
          <w:b/>
          <w:bCs/>
          <w:sz w:val="22"/>
          <w:szCs w:val="22"/>
        </w:rPr>
        <w:t xml:space="preserve"> </w:t>
      </w:r>
      <w:r>
        <w:rPr>
          <w:rFonts w:cs="Times New Roman"/>
          <w:sz w:val="22"/>
          <w:szCs w:val="22"/>
        </w:rPr>
        <w:t>quelconque somme au titre du prêt consenti par COFINA Togo SA.</w:t>
      </w: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8</w:t>
      </w:r>
      <w:r>
        <w:rPr>
          <w:rFonts w:cs="Times New Roman"/>
          <w:b/>
          <w:bCs/>
          <w:sz w:val="22"/>
          <w:szCs w:val="22"/>
        </w:rPr>
        <w:t xml:space="preserve">. - CORRESPONDANCES – ELECTION DE DOMICILE </w:t>
      </w:r>
    </w:p>
    <w:p>
      <w:pPr>
        <w:tabs>
          <w:tab w:val="left" w:pos="6212"/>
        </w:tabs>
        <w:ind w:right="-141"/>
        <w:jc w:val="both"/>
        <w:rPr>
          <w:rFonts w:ascii="Times New Roman" w:hAnsi="Times New Roman" w:cs="Times New Roman"/>
          <w:b/>
          <w:bCs/>
          <w:sz w:val="22"/>
          <w:szCs w:val="22"/>
        </w:rPr>
      </w:pPr>
      <w:r>
        <w:rPr>
          <w:rFonts w:cs="Times New Roman"/>
          <w:b/>
          <w:bCs/>
          <w:sz w:val="22"/>
          <w:szCs w:val="22"/>
        </w:rPr>
        <w:tab/>
      </w:r>
    </w:p>
    <w:p>
      <w:pPr>
        <w:ind w:right="-141"/>
        <w:jc w:val="both"/>
        <w:rPr>
          <w:rFonts w:ascii="Times New Roman" w:hAnsi="Times New Roman" w:cs="Times New Roman"/>
          <w:sz w:val="22"/>
          <w:szCs w:val="22"/>
        </w:rPr>
      </w:pPr>
    </w:p>
    <w:p>
      <w:pPr>
        <w:ind w:right="-141"/>
        <w:jc w:val="both"/>
        <w:rPr>
          <w:rFonts w:ascii="Times New Roman" w:hAnsi="Times New Roman" w:cs="Times New Roman"/>
          <w:sz w:val="22"/>
          <w:szCs w:val="22"/>
        </w:rPr>
      </w:pPr>
      <w:r>
        <w:rPr>
          <w:rFonts w:cs="Times New Roman"/>
          <w:sz w:val="22"/>
          <w:szCs w:val="22"/>
        </w:rPr>
        <w:t>Toute communication, demande ou notification devant être réalisée en vertu des présentes ou de leurs suites sera valablement réalisée si elle est adressée par lettre recommandée avec demande d’avis de réception ou par télécopie confirmée par lettre recommandée avec accusé de réception à l’une ou l’autre des parties à leur adresse respective sus-indiquée en entête.</w:t>
      </w:r>
    </w:p>
    <w:p>
      <w:pPr>
        <w:ind w:right="-141"/>
        <w:jc w:val="both"/>
        <w:rPr>
          <w:rFonts w:ascii="Times New Roman" w:hAnsi="Times New Roman" w:cs="Times New Roman"/>
          <w:sz w:val="22"/>
          <w:szCs w:val="22"/>
        </w:rPr>
      </w:pPr>
    </w:p>
    <w:p>
      <w:pPr>
        <w:ind w:right="-141"/>
        <w:jc w:val="both"/>
        <w:rPr>
          <w:rFonts w:ascii="Times New Roman" w:hAnsi="Times New Roman" w:cs="Times New Roman"/>
          <w:sz w:val="22"/>
          <w:szCs w:val="22"/>
        </w:rPr>
      </w:pPr>
      <w:r>
        <w:rPr>
          <w:rFonts w:cs="Times New Roman"/>
          <w:sz w:val="22"/>
          <w:szCs w:val="22"/>
        </w:rPr>
        <w:t>Domicile est élu par les parties en leur adresse respective figurant en entête des présentes dans le ressort du Greffe du Tribunal de commerce de Lomé.</w:t>
      </w: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9</w:t>
      </w:r>
      <w:r>
        <w:rPr>
          <w:rFonts w:cs="Times New Roman"/>
          <w:b/>
          <w:bCs/>
          <w:sz w:val="22"/>
          <w:szCs w:val="22"/>
        </w:rPr>
        <w:t xml:space="preserve">. – INFORMATION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COFINA Togo SA informera la Caution de toute défaillance, déchéance ou prorogation du terme applicable au client cautionné ainsi que de l’évolution de l’endettement de celui-ci.</w:t>
      </w:r>
    </w:p>
    <w:p>
      <w:pPr>
        <w:ind w:right="-141"/>
        <w:jc w:val="both"/>
        <w:rPr>
          <w:rFonts w:ascii="Times New Roman" w:hAnsi="Times New Roman" w:cs="Times New Roman"/>
          <w:sz w:val="22"/>
          <w:szCs w:val="22"/>
        </w:rPr>
      </w:pPr>
    </w:p>
    <w:p>
      <w:pPr>
        <w:ind w:right="-141"/>
        <w:jc w:val="both"/>
        <w:rPr>
          <w:rFonts w:ascii="Times New Roman" w:hAnsi="Times New Roman" w:cs="Times New Roman"/>
          <w:b/>
          <w:bCs/>
          <w:sz w:val="22"/>
          <w:szCs w:val="22"/>
        </w:rPr>
      </w:pPr>
      <w:r>
        <w:rPr>
          <w:rFonts w:cs="Times New Roman"/>
          <w:b/>
          <w:bCs/>
          <w:sz w:val="22"/>
          <w:szCs w:val="22"/>
          <w:u w:val="single"/>
        </w:rPr>
        <w:t>ARTICLE 10</w:t>
      </w:r>
      <w:r>
        <w:rPr>
          <w:rFonts w:cs="Times New Roman"/>
          <w:b/>
          <w:bCs/>
          <w:i/>
          <w:iCs/>
          <w:sz w:val="22"/>
          <w:szCs w:val="22"/>
        </w:rPr>
        <w:t xml:space="preserve">. – </w:t>
      </w:r>
      <w:r>
        <w:rPr>
          <w:rFonts w:cs="Times New Roman"/>
          <w:b/>
          <w:bCs/>
          <w:sz w:val="22"/>
          <w:szCs w:val="22"/>
        </w:rPr>
        <w:t xml:space="preserve">DROITS ET FRAIS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Tous les frais et droits auxquels donnent ou pourront donner lieu le présent contrat et son exécution seront supportés par la Caution qui s’y oblige.</w:t>
      </w: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11</w:t>
      </w:r>
      <w:r>
        <w:rPr>
          <w:rFonts w:cs="Times New Roman"/>
          <w:b/>
          <w:bCs/>
          <w:i/>
          <w:iCs/>
          <w:sz w:val="22"/>
          <w:szCs w:val="22"/>
        </w:rPr>
        <w:t xml:space="preserve">. – </w:t>
      </w:r>
      <w:r>
        <w:rPr>
          <w:rFonts w:cs="Times New Roman"/>
          <w:b/>
          <w:bCs/>
          <w:sz w:val="22"/>
          <w:szCs w:val="22"/>
        </w:rPr>
        <w:t xml:space="preserve">DROIT APPLICABLE – ATTRIBUTION DE COMPETENCE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Le présent contrat est régi par les actes uniformes du traité OHADA et par toute disposition compatible de la loi Togolaise.</w:t>
      </w:r>
    </w:p>
    <w:p>
      <w:pPr>
        <w:ind w:right="-141"/>
        <w:jc w:val="both"/>
        <w:rPr>
          <w:rFonts w:ascii="Times New Roman" w:hAnsi="Times New Roman" w:cs="Times New Roman"/>
          <w:sz w:val="22"/>
          <w:szCs w:val="22"/>
        </w:rPr>
      </w:pPr>
    </w:p>
    <w:p>
      <w:pPr>
        <w:ind w:right="-141"/>
        <w:jc w:val="both"/>
        <w:rPr>
          <w:rFonts w:ascii="Times New Roman" w:hAnsi="Times New Roman" w:cs="Times New Roman"/>
          <w:sz w:val="22"/>
          <w:szCs w:val="22"/>
        </w:rPr>
      </w:pPr>
      <w:r>
        <w:rPr>
          <w:rFonts w:cs="Times New Roman"/>
          <w:sz w:val="22"/>
          <w:szCs w:val="22"/>
        </w:rPr>
        <w:t>Tous différends et litiges relatifs à son interprétation, son exécution, ses suites et ses conséquences, seront de la seule compétence des Juridictions Togolaises.</w:t>
      </w:r>
    </w:p>
    <w:p>
      <w:pPr>
        <w:ind w:right="-141"/>
        <w:jc w:val="both"/>
        <w:rPr>
          <w:rFonts w:ascii="Times New Roman" w:hAnsi="Times New Roman" w:cs="Times New Roman"/>
          <w:sz w:val="22"/>
          <w:szCs w:val="22"/>
        </w:rPr>
      </w:pPr>
    </w:p>
    <w:p>
      <w:pPr>
        <w:ind w:right="-141"/>
        <w:jc w:val="center"/>
        <w:rPr>
          <w:rFonts w:ascii="Times New Roman" w:hAnsi="Times New Roman" w:cs="Times New Roman"/>
          <w:sz w:val="22"/>
          <w:szCs w:val="22"/>
        </w:rPr>
      </w:pPr>
      <w:r>
        <w:rPr>
          <w:rFonts w:cs="Times New Roman"/>
          <w:sz w:val="22"/>
          <w:szCs w:val="22"/>
        </w:rPr>
        <w:t xml:space="preserve">                                                                                                                          Fait à Lomé le ………………….</w:t>
      </w:r>
    </w:p>
    <w:p>
      <w:pPr>
        <w:ind w:right="-141"/>
        <w:jc w:val="right"/>
        <w:rPr>
          <w:rFonts w:ascii="Times New Roman" w:hAnsi="Times New Roman" w:cs="Times New Roman"/>
          <w:sz w:val="22"/>
          <w:szCs w:val="22"/>
        </w:rPr>
      </w:pPr>
      <w:r>
        <w:rPr>
          <w:rFonts w:cs="Times New Roman"/>
          <w:sz w:val="22"/>
          <w:szCs w:val="22"/>
        </w:rPr>
        <w:t>En trois (3) exemplaires originaux</w:t>
      </w:r>
    </w:p>
    <w:p>
      <w:pPr>
        <w:ind w:right="-141"/>
        <w:jc w:val="both"/>
        <w:rPr>
          <w:rFonts w:ascii="Times New Roman" w:hAnsi="Times New Roman" w:cs="Times New Roman"/>
          <w:sz w:val="22"/>
          <w:szCs w:val="22"/>
        </w:rPr>
      </w:pPr>
    </w:p>
    <w:p>
      <w:pPr>
        <w:rPr>
          <w:rFonts w:ascii="Times New Roman" w:hAnsi="Times New Roman" w:cs="Times New Roman"/>
          <w:b/>
        </w:rPr>
      </w:pPr>
      <w:r>
        <w:br w:type="page"/>
      </w:r>
    </w:p>
    <w:p>
      <w:pPr>
        <w:spacing w:before="0" w:after="0"/>
        <w:jc w:val="center"/>
        <w:rPr>
          <w:rFonts w:ascii="Times New Roman" w:hAnsi="Times New Roman" w:cs="Times New Roman"/>
          <w:b/>
          <w:sz w:val="24"/>
          <w:szCs w:val="24"/>
        </w:rPr>
      </w:pPr>
    </w:p>
    <w:tbl>
      <w:tblPr>
        <w:tblStyle w:val="9"/>
        <w:tblpPr w:leftFromText="180" w:rightFromText="180" w:vertAnchor="text" w:horzAnchor="page" w:tblpX="7510" w:tblpY="1065"/>
        <w:tblOverlap w:val="never"/>
        <w:tblW w:w="39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2" w:hRule="atLeast"/>
        </w:trPr>
        <w:tc>
          <w:tcPr>
            <w:tcW w:w="3923" w:type="dxa"/>
            <w:tcBorders>
              <w:top w:val="nil"/>
              <w:left w:val="nil"/>
              <w:bottom w:val="nil"/>
              <w:right w:val="nil"/>
            </w:tcBorders>
          </w:tcPr>
          <w:p>
            <w:pPr>
              <w:widowControl w:val="0"/>
              <w:spacing w:before="0" w:after="200"/>
              <w:jc w:val="both"/>
              <w:rPr>
                <w:rFonts w:ascii="Times New Roman" w:hAnsi="Times New Roman" w:cs="Times New Roman"/>
                <w:b/>
                <w:position w:val="0"/>
                <w:sz w:val="24"/>
                <w:szCs w:val="24"/>
                <w:vertAlign w:val="baseline"/>
                <w:lang w:val="en-US"/>
              </w:rPr>
            </w:pPr>
            <w:r>
              <w:rPr>
                <w:rFonts w:ascii="Arial" w:hAnsi="Arial" w:cs="Arial"/>
                <w:b/>
                <w:bCs/>
                <w:iCs/>
                <w:color w:val="000000"/>
                <w:kern w:val="0"/>
                <w:sz w:val="24"/>
                <w:szCs w:val="24"/>
                <w:lang w:val="it-IT"/>
              </w:rPr>
              <w:t>Mme. Ameh D. MESSANGAN</w:t>
            </w:r>
            <w:r>
              <w:rPr>
                <w:rFonts w:ascii="Arial" w:hAnsi="Arial" w:cs="Arial"/>
                <w:b/>
                <w:bCs/>
                <w:iCs/>
                <w:color w:val="000000"/>
                <w:kern w:val="0"/>
                <w:sz w:val="24"/>
                <w:szCs w:val="24"/>
                <w:lang w:val="en-US"/>
              </w:rPr>
              <w:t xml:space="preserve"> </w:t>
            </w:r>
            <w:r>
              <w:rPr>
                <w:rFonts w:ascii="Arial" w:hAnsi="Arial" w:cs="Arial"/>
                <w:iCs/>
                <w:color w:val="000000"/>
                <w:kern w:val="0"/>
                <w:sz w:val="24"/>
                <w:szCs w:val="24"/>
              </w:rPr>
              <w:t>épse</w:t>
            </w:r>
            <w:r>
              <w:rPr>
                <w:rFonts w:ascii="Arial" w:hAnsi="Arial" w:cs="Arial"/>
                <w:b/>
                <w:bCs/>
                <w:iCs/>
                <w:color w:val="000000"/>
                <w:kern w:val="0"/>
                <w:sz w:val="24"/>
                <w:szCs w:val="24"/>
              </w:rPr>
              <w:t xml:space="preserve"> AMEDEMEGNAH</w:t>
            </w:r>
            <w:r>
              <w:rPr>
                <w:rFonts w:ascii="Arial" w:hAnsi="Arial" w:cs="Arial"/>
                <w:b/>
                <w:bCs/>
                <w:iCs/>
                <w:color w:val="000000"/>
                <w:kern w:val="0"/>
                <w:sz w:val="24"/>
                <w:szCs w:val="24"/>
                <w:lang w:val="en-US"/>
              </w:rPr>
              <w:t xml:space="preserve"> </w:t>
            </w:r>
            <w:r>
              <w:rPr>
                <w:rFonts w:ascii="Arial" w:hAnsi="Arial" w:cs="Arial"/>
                <w:bCs/>
                <w:iCs/>
                <w:kern w:val="0"/>
                <w:sz w:val="24"/>
                <w:szCs w:val="24"/>
              </w:rPr>
              <w:t>Responsable juridique</w:t>
            </w:r>
          </w:p>
        </w:tc>
      </w:tr>
    </w:tbl>
    <w:p>
      <w:pPr>
        <w:jc w:val="center"/>
        <w:rPr>
          <w:rFonts w:ascii="Times New Roman" w:hAnsi="Times New Roman" w:cs="Times New Roman"/>
          <w:b/>
          <w:sz w:val="24"/>
          <w:szCs w:val="24"/>
        </w:rPr>
      </w:pPr>
      <w:r>
        <w:rPr>
          <w:rFonts w:cs="Times New Roman"/>
          <w:b/>
          <w:sz w:val="24"/>
          <w:szCs w:val="24"/>
        </w:rPr>
        <w:t>Pour l’Institution</w:t>
      </w:r>
    </w:p>
    <w:p>
      <w:pPr>
        <w:jc w:val="center"/>
        <w:rPr>
          <w:rFonts w:ascii="Times New Roman" w:hAnsi="Times New Roman" w:cs="Times New Roman"/>
          <w:b/>
          <w:sz w:val="24"/>
          <w:szCs w:val="24"/>
        </w:rPr>
      </w:pPr>
    </w:p>
    <w:p>
      <w:pPr>
        <w:jc w:val="center"/>
        <w:rPr>
          <w:rFonts w:ascii="Times New Roman" w:hAnsi="Times New Roman" w:cs="Times New Roman"/>
          <w:b/>
          <w:sz w:val="24"/>
          <w:szCs w:val="24"/>
        </w:rPr>
      </w:pPr>
    </w:p>
    <w:tbl>
      <w:tblPr>
        <w:tblStyle w:val="9"/>
        <w:tblW w:w="3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7" w:hRule="atLeast"/>
        </w:trPr>
        <w:tc>
          <w:tcPr>
            <w:tcW w:w="3624" w:type="dxa"/>
            <w:tcBorders>
              <w:top w:val="nil"/>
              <w:left w:val="nil"/>
              <w:bottom w:val="nil"/>
              <w:right w:val="nil"/>
            </w:tcBorders>
          </w:tcPr>
          <w:p>
            <w:pPr>
              <w:widowControl w:val="0"/>
              <w:numPr>
                <w:ilvl w:val="0"/>
                <w:numId w:val="3"/>
              </w:numPr>
              <w:spacing w:before="0" w:after="0"/>
              <w:jc w:val="both"/>
              <w:rPr>
                <w:rFonts w:ascii="Arial" w:hAnsi="Arial" w:cs="Arial"/>
                <w:b/>
                <w:bCs/>
                <w:iCs/>
                <w:sz w:val="24"/>
                <w:szCs w:val="24"/>
                <w:lang w:val="it-IT"/>
              </w:rPr>
            </w:pPr>
            <w:r>
              <w:rPr>
                <w:rFonts w:ascii="Arial" w:hAnsi="Arial" w:cs="Arial"/>
                <w:b/>
                <w:bCs/>
                <w:iCs/>
                <w:kern w:val="0"/>
                <w:sz w:val="24"/>
                <w:szCs w:val="24"/>
                <w:lang w:val="it-IT"/>
              </w:rPr>
              <w:t>Koffi Djramedo GAMADO</w:t>
            </w:r>
          </w:p>
          <w:p>
            <w:pPr>
              <w:widowControl w:val="0"/>
              <w:numPr>
                <w:ilvl w:val="0"/>
                <w:numId w:val="0"/>
              </w:numPr>
              <w:spacing w:before="0" w:after="200"/>
              <w:ind w:left="0" w:firstLine="0"/>
              <w:jc w:val="both"/>
              <w:rPr>
                <w:rFonts w:ascii="Arial" w:hAnsi="Arial" w:cs="Arial"/>
                <w:b/>
                <w:bCs/>
                <w:iCs/>
                <w:sz w:val="24"/>
                <w:szCs w:val="24"/>
                <w:lang w:val="it-IT"/>
              </w:rPr>
            </w:pPr>
            <w:r>
              <w:rPr>
                <w:rFonts w:hint="default" w:ascii="Times New Roman" w:hAnsi="Times New Roman" w:cs="Times New Roman"/>
                <w:bCs/>
                <w:iCs/>
                <w:sz w:val="24"/>
                <w:szCs w:val="24"/>
              </w:rPr>
              <w:t>Responsable du</w:t>
            </w:r>
            <w:r>
              <w:rPr>
                <w:rFonts w:hint="default" w:cs="Times New Roman"/>
                <w:bCs/>
                <w:iCs/>
                <w:sz w:val="24"/>
                <w:szCs w:val="24"/>
                <w:lang w:val="fr-FR"/>
              </w:rPr>
              <w:t xml:space="preserve"> </w:t>
            </w:r>
            <w:bookmarkStart w:id="6" w:name="_GoBack"/>
            <w:bookmarkEnd w:id="6"/>
            <w:r>
              <w:rPr>
                <w:rFonts w:hint="default" w:ascii="Times New Roman" w:hAnsi="Times New Roman" w:cs="Times New Roman"/>
                <w:bCs/>
                <w:iCs/>
                <w:sz w:val="24"/>
                <w:szCs w:val="24"/>
              </w:rPr>
              <w:t>Département Crédit</w:t>
            </w:r>
          </w:p>
        </w:tc>
      </w:tr>
    </w:tbl>
    <w:p>
      <w:pPr>
        <w:rPr>
          <w:rFonts w:ascii="Times New Roman" w:hAnsi="Times New Roman" w:cs="Times New Roman"/>
          <w:b/>
          <w:sz w:val="24"/>
          <w:szCs w:val="24"/>
        </w:rPr>
      </w:pPr>
    </w:p>
    <w:p>
      <w:pPr>
        <w:jc w:val="center"/>
        <w:rPr>
          <w:rFonts w:ascii="Times New Roman" w:hAnsi="Times New Roman" w:cs="Times New Roman"/>
          <w:b/>
        </w:rPr>
      </w:pPr>
    </w:p>
    <w:p>
      <w:pPr>
        <w:jc w:val="center"/>
        <w:rPr>
          <w:rFonts w:ascii="Times New Roman" w:hAnsi="Times New Roman" w:cs="Times New Roman"/>
          <w:b/>
        </w:rPr>
      </w:pPr>
    </w:p>
    <w:p>
      <w:pPr>
        <w:jc w:val="center"/>
        <w:rPr>
          <w:rFonts w:ascii="Times New Roman" w:hAnsi="Times New Roman" w:cs="Times New Roman"/>
          <w:b/>
        </w:rPr>
      </w:pPr>
    </w:p>
    <w:p>
      <w:pPr>
        <w:jc w:val="center"/>
        <w:rPr>
          <w:rFonts w:ascii="Times New Roman" w:hAnsi="Times New Roman" w:cs="Times New Roman"/>
          <w:b/>
        </w:rPr>
      </w:pPr>
      <w:r>
        <w:rPr>
          <w:rFonts w:cs="Times New Roman"/>
          <w:b/>
        </w:rPr>
        <w:t>Pour la caution</w:t>
      </w:r>
    </w:p>
    <w:p>
      <w:pPr>
        <w:rPr>
          <w:rFonts w:ascii="Times New Roman" w:hAnsi="Times New Roman" w:cs="Times New Roman"/>
          <w:b/>
        </w:rPr>
      </w:pPr>
    </w:p>
    <w:p>
      <w:pPr>
        <w:jc w:val="center"/>
        <w:rPr>
          <w:rFonts w:ascii="Times New Roman" w:hAnsi="Times New Roman" w:cs="Times New Roman"/>
          <w:b/>
        </w:rPr>
      </w:pPr>
    </w:p>
    <w:p>
      <w:pPr>
        <w:jc w:val="center"/>
        <w:rPr>
          <w:rFonts w:ascii="Times New Roman" w:hAnsi="Times New Roman" w:cs="Times New Roman"/>
          <w:b/>
          <w:bCs/>
          <w:iCs/>
          <w:highlight w:val="none"/>
          <w:lang w:val="en-US"/>
        </w:rPr>
      </w:pPr>
      <w:r>
        <w:rPr>
          <w:rFonts w:cs="Times New Roman"/>
          <w:b/>
          <w:bCs/>
          <w:iCs/>
        </w:rPr>
        <w:t xml:space="preserve">   ${civility} ${last_name} ${first_name}</w:t>
      </w:r>
    </w:p>
    <w:p>
      <w:pPr>
        <w:rPr>
          <w:rFonts w:ascii="Times New Roman" w:hAnsi="Times New Roman" w:cs="Times New Roman"/>
        </w:rPr>
      </w:pPr>
    </w:p>
    <w:sectPr>
      <w:headerReference r:id="rId7" w:type="first"/>
      <w:footerReference r:id="rId10" w:type="first"/>
      <w:headerReference r:id="rId5" w:type="default"/>
      <w:footerReference r:id="rId8" w:type="default"/>
      <w:headerReference r:id="rId6" w:type="even"/>
      <w:footerReference r:id="rId9" w:type="even"/>
      <w:pgSz w:w="11906" w:h="16838"/>
      <w:pgMar w:top="899" w:right="716" w:bottom="1077" w:left="735" w:header="454" w:footer="102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Noto Sans Devanagari">
    <w:panose1 w:val="020B0502040504020204"/>
    <w:charset w:val="00"/>
    <w:family w:val="auto"/>
    <w:pitch w:val="default"/>
    <w:sig w:usb0="80008023" w:usb1="00002046" w:usb2="00000000" w:usb3="00000000" w:csb0="00000001" w:csb1="00000000"/>
  </w:font>
  <w:font w:name="Liberation Sans">
    <w:panose1 w:val="020B0604020202020204"/>
    <w:charset w:val="01"/>
    <w:family w:val="swiss"/>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Book Antiqua">
    <w:altName w:val="C059"/>
    <w:panose1 w:val="00000000000000000000"/>
    <w:charset w:val="01"/>
    <w:family w:val="roman"/>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Calibri">
    <w:altName w:val="Trebuchet MS"/>
    <w:panose1 w:val="020F0502020204030204"/>
    <w:charset w:val="86"/>
    <w:family w:val="swiss"/>
    <w:pitch w:val="default"/>
    <w:sig w:usb0="00000000" w:usb1="00000000" w:usb2="00000001" w:usb3="00000000" w:csb0="0000019F" w:csb1="00000000"/>
  </w:font>
  <w:font w:name="Symbol">
    <w:altName w:val="C059"/>
    <w:panose1 w:val="00000000000000000000"/>
    <w:charset w:val="02"/>
    <w:family w:val="roman"/>
    <w:pitch w:val="default"/>
    <w:sig w:usb0="00000000" w:usb1="00000000" w:usb2="00000000" w:usb3="00000000" w:csb0="00000000" w:csb1="00000000"/>
  </w:font>
  <w:font w:name="Cambria">
    <w:altName w:val="C059"/>
    <w:panose1 w:val="00000000000000000000"/>
    <w:charset w:val="01"/>
    <w:family w:val="roman"/>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left"/>
      <w:rPr>
        <w:rFonts w:asciiTheme="minorHAnsi" w:hAnsiTheme="minorHAnsi"/>
        <w:b/>
        <w:sz w:val="22"/>
        <w:szCs w:val="22"/>
      </w:rPr>
    </w:pPr>
    <w:r>
      <w:rPr>
        <w:rFonts w:asciiTheme="minorHAnsi" w:hAnsiTheme="minorHAnsi" w:cstheme="minorHAnsi"/>
        <w:sz w:val="16"/>
        <w:szCs w:val="16"/>
      </w:rPr>
      <w:t>CONTRAT DE CAUTIONNEMENT –</w:t>
    </w:r>
    <w:r>
      <w:rPr>
        <w:b/>
        <w:bCs/>
      </w:rPr>
      <w:t xml:space="preserve"> </w:t>
    </w:r>
    <w:r>
      <w:rPr>
        <w:rFonts w:ascii="Cambria" w:hAnsi="Cambria" w:eastAsia="Calibri"/>
        <w:b/>
        <w:bCs/>
        <w:color w:val="000000"/>
        <w:sz w:val="22"/>
        <w:szCs w:val="22"/>
        <w:lang w:eastAsia="en-US"/>
      </w:rPr>
      <w:t>${</w:t>
    </w:r>
    <w:r>
      <w:rPr>
        <w:rFonts w:hint="default" w:ascii="Cambria" w:hAnsi="Cambria" w:eastAsia="Calibri"/>
        <w:b/>
        <w:bCs/>
        <w:color w:val="000000"/>
        <w:sz w:val="22"/>
        <w:szCs w:val="22"/>
        <w:lang w:val="en-US" w:eastAsia="en-US"/>
      </w:rPr>
      <w:t>client_name</w:t>
    </w:r>
    <w:r>
      <w:rPr>
        <w:rFonts w:ascii="Cambria" w:hAnsi="Cambria" w:eastAsia="Calibri"/>
        <w:b/>
        <w:bCs/>
        <w:color w:val="000000"/>
        <w:sz w:val="22"/>
        <w:szCs w:val="22"/>
        <w:lang w:eastAsia="en-US"/>
      </w:rPr>
      <w:t>}</w:t>
    </w:r>
    <w:r>
      <w:rPr>
        <w:rFonts w:asciiTheme="minorHAnsi" w:hAnsiTheme="minorHAnsi" w:cstheme="minorHAnsi"/>
        <w:b/>
        <w:bCs/>
        <w:sz w:val="16"/>
        <w:szCs w:val="16"/>
      </w:rPr>
      <w:tab/>
    </w:r>
    <w:r>
      <w:rPr>
        <w:rFonts w:asciiTheme="minorHAnsi" w:hAnsiTheme="minorHAnsi" w:cstheme="minorHAnsi"/>
        <w:sz w:val="16"/>
        <w:szCs w:val="16"/>
      </w:rPr>
      <w:tab/>
    </w:r>
    <w:r>
      <w:rPr>
        <w:rFonts w:asciiTheme="minorHAnsi" w:hAnsiTheme="minorHAnsi" w:cstheme="minorHAnsi"/>
        <w:sz w:val="16"/>
        <w:szCs w:val="16"/>
      </w:rPr>
      <w:fldChar w:fldCharType="begin"/>
    </w:r>
    <w:r>
      <w:rPr>
        <w:rFonts w:ascii="Calibri" w:hAnsi="Calibri" w:cs="Calibri"/>
        <w:sz w:val="16"/>
        <w:szCs w:val="16"/>
      </w:rPr>
      <w:instrText xml:space="preserve"> PAGE \* ARABIC </w:instrText>
    </w:r>
    <w:r>
      <w:rPr>
        <w:rFonts w:ascii="Calibri" w:hAnsi="Calibri" w:cs="Calibri"/>
        <w:sz w:val="16"/>
        <w:szCs w:val="16"/>
      </w:rPr>
      <w:fldChar w:fldCharType="separate"/>
    </w:r>
    <w:r>
      <w:rPr>
        <w:rFonts w:ascii="Calibri" w:hAnsi="Calibri" w:cs="Calibri"/>
        <w:sz w:val="16"/>
        <w:szCs w:val="16"/>
      </w:rPr>
      <w:t>5</w:t>
    </w:r>
    <w:r>
      <w:rPr>
        <w:rFonts w:ascii="Calibri" w:hAnsi="Calibri" w:cs="Calibri"/>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left"/>
      <w:rPr>
        <w:rFonts w:asciiTheme="minorHAnsi" w:hAnsiTheme="minorHAnsi"/>
        <w:b/>
        <w:sz w:val="22"/>
        <w:szCs w:val="22"/>
      </w:rPr>
    </w:pPr>
    <w:r>
      <w:rPr>
        <w:rFonts w:asciiTheme="minorHAnsi" w:hAnsiTheme="minorHAnsi" w:cstheme="minorHAnsi"/>
        <w:sz w:val="16"/>
        <w:szCs w:val="16"/>
      </w:rPr>
      <w:t>CONTRAT DE CAUTIONNEMENT –</w:t>
    </w:r>
    <w:r>
      <w:rPr>
        <w:b/>
        <w:bCs/>
      </w:rPr>
      <w:t xml:space="preserve"> </w:t>
    </w:r>
    <w:r>
      <w:rPr>
        <w:rFonts w:ascii="Cambria" w:hAnsi="Cambria" w:eastAsia="Calibri"/>
        <w:b/>
        <w:bCs/>
        <w:color w:val="000000"/>
        <w:sz w:val="22"/>
        <w:szCs w:val="22"/>
        <w:lang w:eastAsia="en-US"/>
      </w:rPr>
      <w:t>${contract.verbal_trial.civility}</w:t>
    </w:r>
    <w:r>
      <w:rPr>
        <w:rFonts w:ascii="Cambria" w:hAnsi="Cambria" w:eastAsia="Calibri"/>
        <w:b/>
        <w:bCs/>
        <w:color w:val="000000"/>
        <w:sz w:val="22"/>
        <w:szCs w:val="22"/>
        <w:lang w:val="en-US" w:eastAsia="en-US"/>
      </w:rPr>
      <w:t xml:space="preserve"> </w:t>
    </w:r>
    <w:r>
      <w:rPr>
        <w:rFonts w:ascii="Cambria" w:hAnsi="Cambria" w:eastAsia="Calibri"/>
        <w:b/>
        <w:bCs/>
        <w:color w:val="000000"/>
        <w:sz w:val="22"/>
        <w:szCs w:val="22"/>
        <w:lang w:eastAsia="en-US"/>
      </w:rPr>
      <w:t>${contract.verbal_trial.applicant_last_name}</w:t>
    </w:r>
    <w:r>
      <w:rPr>
        <w:rFonts w:ascii="Cambria" w:hAnsi="Cambria" w:eastAsia="Calibri"/>
        <w:b/>
        <w:bCs/>
        <w:color w:val="000000"/>
        <w:sz w:val="22"/>
        <w:szCs w:val="22"/>
        <w:lang w:val="en-US" w:eastAsia="en-US"/>
      </w:rPr>
      <w:t xml:space="preserve"> </w:t>
    </w:r>
    <w:r>
      <w:rPr>
        <w:rFonts w:ascii="Cambria" w:hAnsi="Cambria" w:eastAsia="Calibri"/>
        <w:b/>
        <w:bCs/>
        <w:color w:val="000000"/>
        <w:sz w:val="22"/>
        <w:szCs w:val="22"/>
        <w:lang w:eastAsia="en-US"/>
      </w:rPr>
      <w:t>${contract.verbal_trial.applicant_first_name}</w:t>
    </w:r>
    <w:r>
      <w:rPr>
        <w:rFonts w:asciiTheme="minorHAnsi" w:hAnsiTheme="minorHAnsi" w:cstheme="minorHAnsi"/>
        <w:b/>
        <w:bCs/>
        <w:sz w:val="16"/>
        <w:szCs w:val="16"/>
      </w:rPr>
      <w:tab/>
    </w:r>
    <w:r>
      <w:rPr>
        <w:rFonts w:asciiTheme="minorHAnsi" w:hAnsiTheme="minorHAnsi" w:cstheme="minorHAnsi"/>
        <w:sz w:val="16"/>
        <w:szCs w:val="16"/>
      </w:rPr>
      <w:tab/>
    </w:r>
    <w:r>
      <w:rPr>
        <w:rFonts w:asciiTheme="minorHAnsi" w:hAnsiTheme="minorHAnsi" w:cstheme="minorHAnsi"/>
        <w:sz w:val="16"/>
        <w:szCs w:val="16"/>
      </w:rPr>
      <w:fldChar w:fldCharType="begin"/>
    </w:r>
    <w:r>
      <w:rPr>
        <w:rFonts w:ascii="Calibri" w:hAnsi="Calibri" w:cs="Calibri"/>
        <w:sz w:val="16"/>
        <w:szCs w:val="16"/>
      </w:rPr>
      <w:instrText xml:space="preserve"> PAGE \* ARABIC </w:instrText>
    </w:r>
    <w:r>
      <w:rPr>
        <w:rFonts w:ascii="Calibri" w:hAnsi="Calibri" w:cs="Calibri"/>
        <w:sz w:val="16"/>
        <w:szCs w:val="16"/>
      </w:rPr>
      <w:fldChar w:fldCharType="separate"/>
    </w:r>
    <w:r>
      <w:rPr>
        <w:rFonts w:ascii="Calibri" w:hAnsi="Calibri" w:cs="Calibri"/>
        <w:sz w:val="16"/>
        <w:szCs w:val="16"/>
      </w:rPr>
      <w:t>5</w:t>
    </w:r>
    <w:r>
      <w:rPr>
        <w:rFonts w:ascii="Calibri" w:hAnsi="Calibri" w:cs="Calibr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4862"/>
        <w:tab w:val="left" w:pos="5031"/>
      </w:tabs>
      <w:jc w:val="center"/>
    </w:pPr>
    <w:r>
      <w:drawing>
        <wp:inline distT="0" distB="0" distL="0" distR="0">
          <wp:extent cx="2752725" cy="7524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
                  <a:stretch>
                    <a:fillRect/>
                  </a:stretch>
                </pic:blipFill>
                <pic:spPr>
                  <a:xfrm>
                    <a:off x="0" y="0"/>
                    <a:ext cx="2752725" cy="752475"/>
                  </a:xfrm>
                  <a:prstGeom prst="rect">
                    <a:avLst/>
                  </a:prstGeom>
                </pic:spPr>
              </pic:pic>
            </a:graphicData>
          </a:graphic>
        </wp:inline>
      </w:drawing>
    </w:r>
  </w:p>
  <w:p>
    <w:pPr>
      <w:tabs>
        <w:tab w:val="left" w:pos="4862"/>
        <w:tab w:val="left" w:pos="5031"/>
      </w:tabs>
    </w:pPr>
  </w:p>
  <w:p>
    <w:pPr>
      <w:tabs>
        <w:tab w:val="left" w:pos="4862"/>
        <w:tab w:val="left" w:pos="5031"/>
      </w:tabs>
      <w:rPr>
        <w:lang w:val="en-US"/>
      </w:rPr>
    </w:pPr>
    <w:r>
      <w:rPr>
        <w:lang w:val="en-US"/>
      </w:rPr>
      <w:t>N°${contract.verbal_trial.committee_id}</w:t>
    </w:r>
  </w:p>
  <w:p>
    <w:pPr>
      <w:tabs>
        <w:tab w:val="left" w:pos="4862"/>
        <w:tab w:val="left" w:pos="5031"/>
      </w:tabs>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4862"/>
        <w:tab w:val="left" w:pos="5031"/>
      </w:tabs>
    </w:pPr>
    <w:r>
      <w:rPr>
        <w:b/>
        <w:bCs/>
        <w:i/>
        <w:iCs/>
        <w:sz w:val="22"/>
        <w:szCs w:val="22"/>
      </w:rPr>
      <w:t xml:space="preserve">                                    </w:t>
    </w:r>
    <w:r>
      <w:drawing>
        <wp:inline distT="0" distB="0" distL="0" distR="0">
          <wp:extent cx="2752725" cy="752475"/>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noChangeArrowheads="1"/>
                  </pic:cNvPicPr>
                </pic:nvPicPr>
                <pic:blipFill>
                  <a:blip r:embed="rId1"/>
                  <a:stretch>
                    <a:fillRect/>
                  </a:stretch>
                </pic:blipFill>
                <pic:spPr>
                  <a:xfrm>
                    <a:off x="0" y="0"/>
                    <a:ext cx="2752725" cy="752475"/>
                  </a:xfrm>
                  <a:prstGeom prst="rect">
                    <a:avLst/>
                  </a:prstGeom>
                </pic:spPr>
              </pic:pic>
            </a:graphicData>
          </a:graphic>
        </wp:inline>
      </w:drawing>
    </w:r>
  </w:p>
  <w:p>
    <w:pPr>
      <w:tabs>
        <w:tab w:val="left" w:pos="4862"/>
        <w:tab w:val="left" w:pos="5031"/>
      </w:tabs>
    </w:pPr>
  </w:p>
  <w:p>
    <w:pPr>
      <w:tabs>
        <w:tab w:val="left" w:pos="4862"/>
        <w:tab w:val="left" w:pos="5031"/>
      </w:tabs>
      <w:rPr>
        <w:lang w:val="en-US"/>
      </w:rPr>
    </w:pPr>
    <w:r>
      <w:rPr>
        <w:lang w:val="en-US"/>
      </w:rPr>
      <w:t>N°${contract.verbal_trial.committee_id}</w:t>
    </w:r>
  </w:p>
  <w:p>
    <w:pPr>
      <w:tabs>
        <w:tab w:val="left" w:pos="4862"/>
        <w:tab w:val="left" w:pos="5031"/>
      </w:tabs>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AF3144"/>
    <w:multiLevelType w:val="multilevel"/>
    <w:tmpl w:val="DFAF3144"/>
    <w:lvl w:ilvl="0" w:tentative="0">
      <w:start w:val="0"/>
      <w:numFmt w:val="bullet"/>
      <w:lvlText w:val="-"/>
      <w:lvlJc w:val="left"/>
      <w:pPr>
        <w:tabs>
          <w:tab w:val="left" w:pos="794"/>
        </w:tabs>
        <w:ind w:left="851" w:hanging="397"/>
      </w:pPr>
      <w:rPr>
        <w:rFonts w:hint="default" w:ascii="Times New Roman" w:hAnsi="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Wingdings"/>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Wingdings"/>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Wingdings"/>
      </w:rPr>
    </w:lvl>
  </w:abstractNum>
  <w:abstractNum w:abstractNumId="1">
    <w:nsid w:val="DFFFD0A5"/>
    <w:multiLevelType w:val="multilevel"/>
    <w:tmpl w:val="DFFFD0A5"/>
    <w:lvl w:ilvl="0" w:tentative="0">
      <w:start w:val="13"/>
      <w:numFmt w:val="upperLetter"/>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FBFD7E18"/>
    <w:multiLevelType w:val="multilevel"/>
    <w:tmpl w:val="FBFD7E18"/>
    <w:lvl w:ilvl="0" w:tentative="0">
      <w:start w:val="0"/>
      <w:numFmt w:val="bullet"/>
      <w:lvlText w:val="-"/>
      <w:lvlJc w:val="left"/>
      <w:pPr>
        <w:tabs>
          <w:tab w:val="left" w:pos="794"/>
        </w:tabs>
        <w:ind w:left="851" w:hanging="397"/>
      </w:pPr>
      <w:rPr>
        <w:rFonts w:hint="default" w:ascii="Times New Roman" w:hAnsi="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Wingdings"/>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Wingdings"/>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FFF8CA7"/>
    <w:rsid w:val="57FFDE20"/>
    <w:rsid w:val="6CBB1267"/>
    <w:rsid w:val="76FACE12"/>
    <w:rsid w:val="7C5FA85E"/>
    <w:rsid w:val="7D842F88"/>
    <w:rsid w:val="7EBDDBC3"/>
    <w:rsid w:val="9DBCE0EB"/>
    <w:rsid w:val="A2EF655F"/>
    <w:rsid w:val="CFCF607E"/>
    <w:rsid w:val="DAE31006"/>
    <w:rsid w:val="DE377D24"/>
    <w:rsid w:val="FBA14F5D"/>
    <w:rsid w:val="FDFB005E"/>
    <w:rsid w:val="FFD62843"/>
    <w:rsid w:val="FFDAF46E"/>
  </w:rsids>
  <m:mathPr>
    <m:brkBin m:val="before"/>
    <m:brkBinSub m:val="--"/>
    <m:smallFrac m:val="0"/>
    <m:dispDef/>
    <m:lMargin m:val="0"/>
    <m:rMargin m:val="0"/>
    <m:defJc m:val="centerGroup"/>
    <m:wrapIndent m:val="1440"/>
    <m:intLim m:val="subSup"/>
    <m:naryLim m:val="undOvr"/>
  </m:mathPr>
  <w:themeFontLang w:val="fr-FR"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240" w:lineRule="auto"/>
      <w:jc w:val="left"/>
    </w:pPr>
    <w:rPr>
      <w:rFonts w:ascii="Times New Roman" w:hAnsi="Times New Roman" w:eastAsia="Times New Roman" w:cs="Times New Roman"/>
      <w:color w:val="auto"/>
      <w:kern w:val="0"/>
      <w:sz w:val="24"/>
      <w:szCs w:val="24"/>
      <w:lang w:val="fr-FR" w:eastAsia="fr-FR"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spacing w:before="0" w:after="140" w:line="276" w:lineRule="auto"/>
    </w:pPr>
  </w:style>
  <w:style w:type="paragraph" w:styleId="5">
    <w:name w:val="caption"/>
    <w:basedOn w:val="1"/>
    <w:next w:val="1"/>
    <w:qFormat/>
    <w:uiPriority w:val="0"/>
    <w:pPr>
      <w:suppressLineNumbers/>
      <w:spacing w:before="120" w:after="120"/>
    </w:pPr>
    <w:rPr>
      <w:rFonts w:cs="Noto Sans Devanagari"/>
      <w:i/>
      <w:iCs/>
      <w:sz w:val="24"/>
      <w:szCs w:val="24"/>
    </w:rPr>
  </w:style>
  <w:style w:type="paragraph" w:styleId="6">
    <w:name w:val="footer"/>
    <w:basedOn w:val="1"/>
    <w:link w:val="11"/>
    <w:qFormat/>
    <w:uiPriority w:val="0"/>
    <w:pPr>
      <w:tabs>
        <w:tab w:val="center" w:pos="4536"/>
        <w:tab w:val="right" w:pos="9072"/>
      </w:tabs>
    </w:pPr>
  </w:style>
  <w:style w:type="paragraph" w:styleId="7">
    <w:name w:val="header"/>
    <w:basedOn w:val="1"/>
    <w:link w:val="10"/>
    <w:qFormat/>
    <w:uiPriority w:val="0"/>
    <w:pPr>
      <w:tabs>
        <w:tab w:val="center" w:pos="4536"/>
        <w:tab w:val="right" w:pos="9072"/>
      </w:tabs>
    </w:pPr>
  </w:style>
  <w:style w:type="paragraph" w:styleId="8">
    <w:name w:val="List"/>
    <w:basedOn w:val="4"/>
    <w:qFormat/>
    <w:uiPriority w:val="0"/>
    <w:rPr>
      <w:rFonts w:cs="Noto Sans Devanagari"/>
    </w:rPr>
  </w:style>
  <w:style w:type="table" w:styleId="9">
    <w:name w:val="Table Grid"/>
    <w:basedOn w:val="3"/>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En-tête Car"/>
    <w:basedOn w:val="2"/>
    <w:link w:val="7"/>
    <w:qFormat/>
    <w:uiPriority w:val="0"/>
    <w:rPr>
      <w:rFonts w:ascii="Times New Roman" w:hAnsi="Times New Roman" w:eastAsia="Times New Roman" w:cs="Times New Roman"/>
      <w:sz w:val="24"/>
      <w:szCs w:val="24"/>
      <w:lang w:eastAsia="fr-FR"/>
    </w:rPr>
  </w:style>
  <w:style w:type="character" w:customStyle="1" w:styleId="11">
    <w:name w:val="Pied de page Car"/>
    <w:basedOn w:val="2"/>
    <w:link w:val="6"/>
    <w:qFormat/>
    <w:uiPriority w:val="0"/>
    <w:rPr>
      <w:rFonts w:ascii="Times New Roman" w:hAnsi="Times New Roman" w:eastAsia="Times New Roman" w:cs="Times New Roman"/>
      <w:sz w:val="24"/>
      <w:szCs w:val="24"/>
      <w:lang w:eastAsia="fr-FR"/>
    </w:rPr>
  </w:style>
  <w:style w:type="character" w:customStyle="1" w:styleId="12">
    <w:name w:val="Caractères de note de bas de page"/>
    <w:qFormat/>
    <w:uiPriority w:val="0"/>
  </w:style>
  <w:style w:type="paragraph" w:customStyle="1" w:styleId="13">
    <w:name w:val="Titre"/>
    <w:basedOn w:val="1"/>
    <w:next w:val="4"/>
    <w:qFormat/>
    <w:uiPriority w:val="0"/>
    <w:pPr>
      <w:keepNext/>
      <w:spacing w:before="240" w:after="120"/>
    </w:pPr>
    <w:rPr>
      <w:rFonts w:ascii="Liberation Sans" w:hAnsi="Liberation Sans" w:eastAsia="Noto Sans CJK SC" w:cs="Noto Sans Devanagari"/>
      <w:sz w:val="28"/>
      <w:szCs w:val="28"/>
    </w:rPr>
  </w:style>
  <w:style w:type="paragraph" w:customStyle="1" w:styleId="14">
    <w:name w:val="Index"/>
    <w:basedOn w:val="1"/>
    <w:qFormat/>
    <w:uiPriority w:val="0"/>
    <w:pPr>
      <w:suppressLineNumbers/>
    </w:pPr>
    <w:rPr>
      <w:rFonts w:cs="Noto Sans Devanagari"/>
    </w:rPr>
  </w:style>
  <w:style w:type="paragraph" w:customStyle="1" w:styleId="15">
    <w:name w:val="En-tête et pied de page"/>
    <w:basedOn w:val="1"/>
    <w:qFormat/>
    <w:uiPriority w:val="0"/>
  </w:style>
  <w:style w:type="paragraph" w:customStyle="1" w:styleId="16">
    <w:name w:val="Body"/>
    <w:basedOn w:val="1"/>
    <w:qFormat/>
    <w:uiPriority w:val="99"/>
    <w:pPr>
      <w:spacing w:before="0" w:after="120"/>
      <w:ind w:left="283"/>
    </w:pPr>
    <w:rPr>
      <w:sz w:val="16"/>
      <w:szCs w:val="16"/>
    </w:rPr>
  </w:style>
  <w:style w:type="paragraph" w:customStyle="1" w:styleId="17">
    <w:name w:val="Contenu de cadre"/>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1080</Words>
  <Characters>6175</Characters>
  <Paragraphs>55</Paragraphs>
  <TotalTime>0</TotalTime>
  <ScaleCrop>false</ScaleCrop>
  <LinksUpToDate>false</LinksUpToDate>
  <CharactersWithSpaces>7392</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2022-05-11T15:35:00Z</dcterms:created>
  <dc:creator>Tadjoudine  MEMEM</dc:creator>
  <cp:lastModifiedBy>charles-gamligo</cp:lastModifiedBy>
  <cp:lastPrinted>2021-12-10T15:01:00Z</cp:lastPrinted>
  <dcterms:modified xsi:type="dcterms:W3CDTF">2026-09-23T13:33:43Z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