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15"/>
          <w:tab w:val="center" w:pos="4536"/>
        </w:tabs>
        <w:jc w:val="both"/>
        <w:rPr>
          <w:rFonts w:hint="default" w:ascii="Times New Roman" w:hAnsi="Times New Roman" w:cs="Times New Roman"/>
          <w:b/>
          <w:bCs/>
          <w:i/>
          <w:iCs/>
          <w:sz w:val="22"/>
          <w:szCs w:val="22"/>
        </w:rPr>
      </w:pPr>
    </w:p>
    <w:p>
      <w:pPr>
        <w:tabs>
          <w:tab w:val="left" w:pos="4215"/>
          <w:tab w:val="center" w:pos="4536"/>
        </w:tabs>
        <w:jc w:val="both"/>
        <w:rPr>
          <w:rFonts w:hint="default" w:ascii="Times New Roman" w:hAnsi="Times New Roman" w:cs="Times New Roman"/>
          <w:b/>
          <w:bCs/>
          <w:i/>
          <w:iCs/>
          <w:sz w:val="22"/>
          <w:szCs w:val="22"/>
        </w:rPr>
      </w:pPr>
      <w:r>
        <w:rPr>
          <w:rFonts w:hint="default" w:ascii="Times New Roman" w:hAnsi="Times New Roman" w:cs="Times New Roman"/>
          <w:b/>
          <w:bCs/>
          <w:i/>
          <w:iCs/>
          <w:sz w:val="22"/>
          <w:szCs w:val="22"/>
        </w:rPr>
        <mc:AlternateContent>
          <mc:Choice Requires="wps">
            <w:drawing>
              <wp:anchor distT="0" distB="0" distL="114300" distR="114300" simplePos="0" relativeHeight="251659264" behindDoc="0" locked="0" layoutInCell="1" allowOverlap="1">
                <wp:simplePos x="0" y="0"/>
                <wp:positionH relativeFrom="column">
                  <wp:posOffset>1143000</wp:posOffset>
                </wp:positionH>
                <wp:positionV relativeFrom="paragraph">
                  <wp:posOffset>41275</wp:posOffset>
                </wp:positionV>
                <wp:extent cx="3086100" cy="342900"/>
                <wp:effectExtent l="13970" t="78105" r="71755" b="7620"/>
                <wp:wrapNone/>
                <wp:docPr id="1" name="Rectangle 3"/>
                <wp:cNvGraphicFramePr/>
                <a:graphic xmlns:a="http://schemas.openxmlformats.org/drawingml/2006/main">
                  <a:graphicData uri="http://schemas.microsoft.com/office/word/2010/wordprocessingShape">
                    <wps:wsp>
                      <wps:cNvSpPr>
                        <a:spLocks noChangeArrowheads="1"/>
                      </wps:cNvSpPr>
                      <wps:spPr bwMode="auto">
                        <a:xfrm>
                          <a:off x="0" y="0"/>
                          <a:ext cx="3086100" cy="342900"/>
                        </a:xfrm>
                        <a:prstGeom prst="rect">
                          <a:avLst/>
                        </a:prstGeom>
                        <a:solidFill>
                          <a:srgbClr val="FFFFFF"/>
                        </a:solidFill>
                        <a:ln w="9525">
                          <a:solidFill>
                            <a:srgbClr val="000000"/>
                          </a:solidFill>
                          <a:miter lim="800000"/>
                        </a:ln>
                        <a:effectLst>
                          <a:outerShdw dist="107763" dir="18900000" algn="ctr" rotWithShape="0">
                            <a:srgbClr val="808080">
                              <a:alpha val="50000"/>
                            </a:srgbClr>
                          </a:outerShdw>
                        </a:effectLst>
                      </wps:spPr>
                      <wps:txbx>
                        <w:txbxContent>
                          <w:p>
                            <w:pPr>
                              <w:jc w:val="center"/>
                              <w:rPr>
                                <w:rFonts w:ascii="Book Antiqua" w:hAnsi="Book Antiqua"/>
                                <w:b/>
                                <w:bCs/>
                                <w:i/>
                                <w:iCs/>
                                <w:sz w:val="32"/>
                                <w:szCs w:val="32"/>
                              </w:rPr>
                            </w:pPr>
                            <w:r>
                              <w:rPr>
                                <w:rFonts w:ascii="Book Antiqua" w:hAnsi="Book Antiqua"/>
                                <w:b/>
                                <w:bCs/>
                                <w:i/>
                                <w:iCs/>
                                <w:sz w:val="32"/>
                                <w:szCs w:val="32"/>
                              </w:rPr>
                              <w:t>Contrat de Cautionnement</w:t>
                            </w:r>
                          </w:p>
                        </w:txbxContent>
                      </wps:txbx>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90pt;margin-top:3.25pt;height:27pt;width:243pt;z-index:251659264;mso-width-relative:page;mso-height-relative:page;" fillcolor="#FFFFFF" filled="t" stroked="t" coordsize="21600,21600" o:gfxdata="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">
                <v:fill on="t" focussize="0,0"/>
                <v:stroke color="#000000" miterlimit="8" joinstyle="miter"/>
                <v:imagedata o:title=""/>
                <o:lock v:ext="edit" aspectratio="f"/>
                <v:shadow on="t" color="#808080" opacity="32768f" offset="6pt,-6pt" origin="0f,0f" matrix="65536f,0f,0f,65536f"/>
                <v:textbox>
                  <w:txbxContent>
                    <w:p>
                      <w:pPr>
                        <w:jc w:val="center"/>
                        <w:rPr>
                          <w:rFonts w:ascii="Book Antiqua" w:hAnsi="Book Antiqua"/>
                          <w:b/>
                          <w:bCs/>
                          <w:i/>
                          <w:iCs/>
                          <w:sz w:val="32"/>
                          <w:szCs w:val="32"/>
                        </w:rPr>
                      </w:pPr>
                      <w:r>
                        <w:rPr>
                          <w:rFonts w:ascii="Book Antiqua" w:hAnsi="Book Antiqua"/>
                          <w:b/>
                          <w:bCs/>
                          <w:i/>
                          <w:iCs/>
                          <w:sz w:val="32"/>
                          <w:szCs w:val="32"/>
                        </w:rPr>
                        <w:t>Contrat de Cautionnement</w:t>
                      </w:r>
                    </w:p>
                  </w:txbxContent>
                </v:textbox>
              </v:rect>
            </w:pict>
          </mc:Fallback>
        </mc:AlternateContent>
      </w:r>
    </w:p>
    <w:p>
      <w:pPr>
        <w:jc w:val="both"/>
        <w:rPr>
          <w:rFonts w:hint="default" w:ascii="Times New Roman" w:hAnsi="Times New Roman" w:cs="Times New Roman"/>
          <w:i/>
          <w:iCs/>
          <w:sz w:val="22"/>
          <w:szCs w:val="22"/>
        </w:rPr>
      </w:pPr>
    </w:p>
    <w:p>
      <w:pPr>
        <w:tabs>
          <w:tab w:val="left" w:pos="1695"/>
        </w:tabs>
        <w:jc w:val="both"/>
        <w:rPr>
          <w:rFonts w:hint="default" w:ascii="Times New Roman" w:hAnsi="Times New Roman" w:cs="Times New Roman"/>
          <w:b/>
          <w:bCs/>
          <w:sz w:val="22"/>
          <w:szCs w:val="22"/>
          <w:u w:val="single"/>
        </w:rPr>
      </w:pPr>
    </w:p>
    <w:p>
      <w:pPr>
        <w:jc w:val="both"/>
        <w:rPr>
          <w:rFonts w:hint="default" w:ascii="Times New Roman" w:hAnsi="Times New Roman" w:cs="Times New Roman"/>
          <w:b/>
          <w:bCs/>
          <w:sz w:val="22"/>
          <w:szCs w:val="22"/>
          <w:u w:val="single"/>
        </w:rPr>
      </w:pPr>
    </w:p>
    <w:p>
      <w:pPr>
        <w:ind w:right="-141"/>
        <w:jc w:val="both"/>
        <w:rPr>
          <w:rFonts w:hint="default" w:ascii="Times New Roman" w:hAnsi="Times New Roman" w:cs="Times New Roman"/>
          <w:b/>
          <w:bCs/>
          <w:sz w:val="22"/>
          <w:szCs w:val="22"/>
          <w:u w:val="single"/>
        </w:rPr>
      </w:pPr>
    </w:p>
    <w:p>
      <w:pPr>
        <w:ind w:right="-141"/>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ENTRE-LES SOUSSIGNES</w:t>
      </w:r>
    </w:p>
    <w:p>
      <w:pPr>
        <w:ind w:right="-141"/>
        <w:jc w:val="both"/>
        <w:rPr>
          <w:rFonts w:hint="default" w:ascii="Times New Roman" w:hAnsi="Times New Roman" w:cs="Times New Roman"/>
          <w:sz w:val="22"/>
          <w:szCs w:val="22"/>
        </w:rPr>
      </w:pPr>
    </w:p>
    <w:p>
      <w:pPr>
        <w:jc w:val="both"/>
        <w:rPr>
          <w:rFonts w:hint="default" w:ascii="Times New Roman" w:hAnsi="Times New Roman" w:cs="Times New Roman"/>
          <w:color w:val="000000"/>
        </w:rPr>
      </w:pPr>
      <w:r>
        <w:rPr>
          <w:rFonts w:hint="default" w:ascii="Times New Roman" w:hAnsi="Times New Roman" w:cs="Times New Roman"/>
          <w:b/>
          <w:color w:val="000000"/>
        </w:rPr>
        <w:t>COMPAGNIE FINANCIERE AFRICAINE (COFINA) Togo SA</w:t>
      </w:r>
      <w:r>
        <w:rPr>
          <w:rFonts w:hint="default" w:ascii="Times New Roman" w:hAnsi="Times New Roman" w:cs="Times New Roman"/>
          <w:color w:val="000000"/>
        </w:rPr>
        <w:t xml:space="preserve">, Société Anonyme avec Conseil d’Administration au capital de  500 000 000 FCFA, immatriculée au Registre du Commerce et du Crédit Mobilier du TOGO, sous le numéro initial TOGO-LOME TG-LOM 2018 B2536, Agrément </w:t>
      </w:r>
      <w:r>
        <w:rPr>
          <w:rFonts w:hint="default" w:ascii="Times New Roman" w:hAnsi="Times New Roman" w:cs="Times New Roman"/>
        </w:rPr>
        <w:t>Numéro 36 et inscrite sur la liste de l’APSFD sous le numéro T/1/GFLM/2019/257A</w:t>
      </w:r>
      <w:r>
        <w:rPr>
          <w:rFonts w:hint="default" w:ascii="Times New Roman" w:hAnsi="Times New Roman" w:cs="Times New Roman"/>
          <w:color w:val="000000"/>
        </w:rPr>
        <w:t>, dont le siège social est situé à LOME (TOGO</w:t>
      </w:r>
      <w:bookmarkStart w:id="0" w:name="_Hlk66259236"/>
      <w:r>
        <w:rPr>
          <w:rFonts w:hint="default" w:ascii="Times New Roman" w:hAnsi="Times New Roman" w:cs="Times New Roman"/>
          <w:color w:val="000000"/>
        </w:rPr>
        <w:t>), Boulevard du 13 Janvier, Quartier Kodjoviakope, 07 BP : 7499 Lomé-TOGO</w:t>
      </w:r>
      <w:bookmarkEnd w:id="0"/>
      <w:r>
        <w:rPr>
          <w:rFonts w:hint="default" w:ascii="Times New Roman" w:hAnsi="Times New Roman" w:cs="Times New Roman"/>
          <w:color w:val="000000"/>
        </w:rPr>
        <w:t xml:space="preserve">, Tel : 00 228 22 23 68 68/ 00 228 22 23 68 60,  </w:t>
      </w:r>
    </w:p>
    <w:p>
      <w:pPr>
        <w:jc w:val="both"/>
        <w:rPr>
          <w:rFonts w:hint="default" w:ascii="Times New Roman" w:hAnsi="Times New Roman" w:cs="Times New Roman"/>
          <w:color w:val="000000"/>
        </w:rPr>
      </w:pPr>
    </w:p>
    <w:p>
      <w:pPr>
        <w:jc w:val="both"/>
        <w:rPr>
          <w:rFonts w:hint="default" w:ascii="Times New Roman" w:hAnsi="Times New Roman" w:cs="Times New Roman"/>
          <w:sz w:val="22"/>
          <w:szCs w:val="22"/>
        </w:rPr>
      </w:pPr>
      <w:r>
        <w:rPr>
          <w:rFonts w:hint="default" w:ascii="Times New Roman" w:hAnsi="Times New Roman" w:cs="Times New Roman"/>
          <w:bCs/>
          <w:iCs/>
          <w:color w:val="000000"/>
        </w:rPr>
        <w:t xml:space="preserve">Représentée par </w:t>
      </w:r>
      <w:r>
        <w:rPr>
          <w:rFonts w:hint="default" w:ascii="Times New Roman" w:hAnsi="Times New Roman" w:cs="Times New Roman"/>
          <w:b/>
          <w:bCs/>
          <w:iCs/>
          <w:color w:val="000000"/>
        </w:rPr>
        <w:t>Monsieur</w:t>
      </w:r>
      <w:r>
        <w:rPr>
          <w:rFonts w:hint="default" w:ascii="Times New Roman" w:hAnsi="Times New Roman" w:cs="Times New Roman"/>
          <w:bCs/>
          <w:iCs/>
          <w:color w:val="000000"/>
        </w:rPr>
        <w:t xml:space="preserve"> </w:t>
      </w:r>
      <w:r>
        <w:rPr>
          <w:rFonts w:hint="default" w:ascii="Times New Roman" w:hAnsi="Times New Roman" w:cs="Times New Roman"/>
          <w:b/>
          <w:bCs/>
          <w:iCs/>
          <w:color w:val="000000"/>
        </w:rPr>
        <w:t>Mélaine Marcel Séraphin DIGBE</w:t>
      </w:r>
      <w:r>
        <w:rPr>
          <w:rFonts w:hint="default" w:ascii="Times New Roman" w:hAnsi="Times New Roman" w:cs="Times New Roman"/>
          <w:bCs/>
          <w:iCs/>
          <w:color w:val="000000"/>
        </w:rPr>
        <w:t xml:space="preserve">, en sa qualité de Directeur Général, dûment habilité, et par délégation de pouvoir à </w:t>
      </w:r>
      <w:r>
        <w:rPr>
          <w:rFonts w:hint="default" w:ascii="Times New Roman" w:hAnsi="Times New Roman" w:cs="Times New Roman"/>
          <w:b/>
          <w:bCs/>
          <w:iCs/>
          <w:color w:val="000000"/>
        </w:rPr>
        <w:t>Madame Ameh Délali MESSANGAN épouse AMEDEMEGNAH, Responsable juridique</w:t>
      </w:r>
      <w:r>
        <w:rPr>
          <w:rFonts w:hint="default" w:ascii="Times New Roman" w:hAnsi="Times New Roman" w:cs="Times New Roman"/>
          <w:bCs/>
          <w:iCs/>
          <w:color w:val="000000"/>
        </w:rPr>
        <w:t xml:space="preserve"> et </w:t>
      </w:r>
      <w:r>
        <w:rPr>
          <w:rFonts w:hint="default" w:ascii="Times New Roman" w:hAnsi="Times New Roman" w:cs="Times New Roman"/>
          <w:b/>
          <w:bCs/>
          <w:iCs/>
          <w:color w:val="000000"/>
        </w:rPr>
        <w:t xml:space="preserve">Madame Christèle F. R. FEBON </w:t>
      </w:r>
      <w:r>
        <w:rPr>
          <w:rFonts w:hint="default" w:ascii="Times New Roman" w:hAnsi="Times New Roman" w:cs="Times New Roman"/>
          <w:bCs/>
          <w:iCs/>
          <w:color w:val="000000"/>
        </w:rPr>
        <w:t>épouse</w:t>
      </w:r>
      <w:r>
        <w:rPr>
          <w:rFonts w:hint="default" w:ascii="Times New Roman" w:hAnsi="Times New Roman" w:cs="Times New Roman"/>
          <w:b/>
          <w:bCs/>
          <w:iCs/>
          <w:color w:val="000000"/>
        </w:rPr>
        <w:t xml:space="preserve"> JOHNSON, </w:t>
      </w:r>
      <w:r>
        <w:rPr>
          <w:rFonts w:hint="default" w:ascii="Times New Roman" w:hAnsi="Times New Roman" w:cs="Times New Roman"/>
          <w:bCs/>
          <w:iCs/>
          <w:color w:val="000000"/>
        </w:rPr>
        <w:t>Directrice d’exploitation,</w:t>
      </w:r>
      <w:r>
        <w:rPr>
          <w:rFonts w:hint="default" w:ascii="Times New Roman" w:hAnsi="Times New Roman" w:cs="Times New Roman"/>
          <w:b/>
          <w:bCs/>
          <w:iCs/>
          <w:color w:val="000000"/>
        </w:rPr>
        <w:t> </w:t>
      </w:r>
      <w:r>
        <w:rPr>
          <w:rFonts w:hint="default" w:ascii="Times New Roman" w:hAnsi="Times New Roman" w:cs="Times New Roman"/>
          <w:bCs/>
          <w:iCs/>
          <w:color w:val="000000"/>
        </w:rPr>
        <w:t>vertu d’un acte reçu par Me Afiavi S. do REGO-d’Almeida, Notaire à Lomé, en date du 19 Août 2022</w:t>
      </w:r>
      <w:r>
        <w:rPr>
          <w:rFonts w:hint="default" w:ascii="Times New Roman" w:hAnsi="Times New Roman" w:cs="Times New Roman"/>
          <w:sz w:val="22"/>
          <w:szCs w:val="22"/>
        </w:rPr>
        <w:t>,</w:t>
      </w:r>
    </w:p>
    <w:p>
      <w:pPr>
        <w:autoSpaceDE w:val="0"/>
        <w:autoSpaceDN w:val="0"/>
        <w:adjustRightInd w:val="0"/>
        <w:ind w:right="-141"/>
        <w:jc w:val="both"/>
        <w:rPr>
          <w:rFonts w:hint="default" w:ascii="Times New Roman" w:hAnsi="Times New Roman" w:cs="Times New Roman"/>
          <w:sz w:val="22"/>
          <w:szCs w:val="22"/>
        </w:rPr>
      </w:pPr>
    </w:p>
    <w:p>
      <w:pPr>
        <w:ind w:right="-141"/>
        <w:jc w:val="right"/>
        <w:rPr>
          <w:rFonts w:hint="default" w:ascii="Times New Roman" w:hAnsi="Times New Roman" w:cs="Times New Roman"/>
          <w:i/>
          <w:iCs/>
          <w:sz w:val="22"/>
          <w:szCs w:val="22"/>
        </w:rPr>
      </w:pPr>
      <w:r>
        <w:rPr>
          <w:rFonts w:hint="default" w:ascii="Times New Roman" w:hAnsi="Times New Roman" w:cs="Times New Roman"/>
          <w:sz w:val="22"/>
          <w:szCs w:val="22"/>
        </w:rPr>
        <w:t xml:space="preserve">Ci-après dénommée « </w:t>
      </w:r>
      <w:r>
        <w:rPr>
          <w:rFonts w:hint="default" w:ascii="Times New Roman" w:hAnsi="Times New Roman" w:cs="Times New Roman"/>
          <w:b/>
          <w:bCs/>
          <w:sz w:val="22"/>
          <w:szCs w:val="22"/>
        </w:rPr>
        <w:t xml:space="preserve">COFINA TOGO SA », </w:t>
      </w:r>
      <w:r>
        <w:rPr>
          <w:rFonts w:hint="default" w:ascii="Times New Roman" w:hAnsi="Times New Roman" w:cs="Times New Roman"/>
          <w:b/>
          <w:bCs/>
          <w:i/>
          <w:iCs/>
          <w:sz w:val="22"/>
          <w:szCs w:val="22"/>
        </w:rPr>
        <w:t>d’une part</w:t>
      </w:r>
      <w:r>
        <w:rPr>
          <w:rFonts w:hint="default" w:ascii="Times New Roman" w:hAnsi="Times New Roman" w:cs="Times New Roman"/>
          <w:i/>
          <w:iCs/>
          <w:sz w:val="22"/>
          <w:szCs w:val="22"/>
        </w:rPr>
        <w:t>,</w:t>
      </w:r>
    </w:p>
    <w:p>
      <w:pPr>
        <w:ind w:right="-14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r>
        <w:rPr>
          <w:rFonts w:hint="default" w:ascii="Times New Roman" w:hAnsi="Times New Roman" w:cs="Times New Roman"/>
          <w:b/>
          <w:bCs/>
          <w:sz w:val="22"/>
          <w:szCs w:val="22"/>
          <w:u w:val="single"/>
        </w:rPr>
        <w:t>ET</w:t>
      </w:r>
    </w:p>
    <w:p>
      <w:pPr>
        <w:autoSpaceDE w:val="0"/>
        <w:autoSpaceDN w:val="0"/>
        <w:adjustRightInd w:val="0"/>
        <w:ind w:right="-141"/>
        <w:jc w:val="both"/>
        <w:rPr>
          <w:rFonts w:hint="default" w:ascii="Times New Roman" w:hAnsi="Times New Roman" w:cs="Times New Roman"/>
          <w:b/>
          <w:i/>
          <w:iCs/>
          <w:sz w:val="22"/>
          <w:szCs w:val="22"/>
        </w:rPr>
      </w:pPr>
    </w:p>
    <w:p>
      <w:pPr>
        <w:autoSpaceDE w:val="0"/>
        <w:autoSpaceDN w:val="0"/>
        <w:adjustRightInd w:val="0"/>
        <w:ind w:right="-141"/>
        <w:jc w:val="both"/>
        <w:rPr>
          <w:rFonts w:hint="default" w:ascii="Times New Roman" w:hAnsi="Times New Roman" w:cs="Times New Roman"/>
          <w:highlight w:val="none"/>
          <w:lang w:val="en-US"/>
        </w:rPr>
      </w:pPr>
      <w:bookmarkStart w:id="1" w:name="_Hlk131079885"/>
      <w:r>
        <w:rPr>
          <w:rFonts w:hint="default" w:cs="Times New Roman"/>
          <w:b/>
          <w:bCs/>
          <w:highlight w:val="none"/>
          <w:lang w:val="en-US"/>
        </w:rPr>
        <w:t>Mr</w:t>
      </w:r>
      <w:r>
        <w:rPr>
          <w:rFonts w:hint="default" w:ascii="Times New Roman" w:hAnsi="Times New Roman" w:cs="Times New Roman"/>
          <w:b/>
          <w:bCs/>
          <w:highlight w:val="none"/>
        </w:rPr>
        <w:t xml:space="preserve"> </w:t>
      </w:r>
      <w:r>
        <w:rPr>
          <w:rFonts w:hint="default" w:cs="Times New Roman"/>
          <w:b/>
          <w:bCs/>
          <w:highlight w:val="none"/>
          <w:lang w:val="en-US"/>
        </w:rPr>
        <w:t>Facilis et mollitia Duis assumenda lauda, née le</w:t>
      </w:r>
      <w:r>
        <w:rPr>
          <w:rFonts w:hint="default" w:ascii="Times New Roman" w:hAnsi="Times New Roman" w:cs="Times New Roman"/>
          <w:b/>
          <w:bCs/>
          <w:highlight w:val="none"/>
        </w:rPr>
        <w:t xml:space="preserve"> </w:t>
      </w:r>
      <w:r>
        <w:rPr>
          <w:rFonts w:hint="default" w:cs="Times New Roman"/>
          <w:b/>
          <w:bCs/>
          <w:highlight w:val="none"/>
          <w:lang w:val="en-US"/>
        </w:rPr>
        <w:t>03/07/2024 à Eu illo nulla qui cu</w:t>
      </w:r>
      <w:r>
        <w:rPr>
          <w:rFonts w:hint="default" w:ascii="Times New Roman" w:hAnsi="Times New Roman" w:cs="Times New Roman"/>
          <w:b/>
          <w:bCs/>
          <w:highlight w:val="none"/>
        </w:rPr>
        <w:t xml:space="preserve">, de nationalité </w:t>
      </w:r>
      <w:r>
        <w:rPr>
          <w:rFonts w:hint="default" w:cs="Times New Roman"/>
          <w:b/>
          <w:bCs/>
          <w:highlight w:val="none"/>
          <w:lang w:val="en-US"/>
        </w:rPr>
        <w:t>Maiores in exercitat</w:t>
      </w:r>
      <w:r>
        <w:rPr>
          <w:rFonts w:hint="default" w:ascii="Times New Roman" w:hAnsi="Times New Roman" w:cs="Times New Roman"/>
          <w:b/>
          <w:bCs/>
          <w:highlight w:val="none"/>
        </w:rPr>
        <w:t xml:space="preserve"> domicilié à </w:t>
      </w:r>
      <w:r>
        <w:rPr>
          <w:rFonts w:hint="default" w:cs="Times New Roman"/>
          <w:b/>
          <w:bCs/>
          <w:highlight w:val="none"/>
          <w:lang w:val="en-US"/>
        </w:rPr>
        <w:t>Quo occaecat exercit</w:t>
      </w:r>
      <w:r>
        <w:rPr>
          <w:rFonts w:hint="default" w:ascii="Times New Roman" w:hAnsi="Times New Roman" w:cs="Times New Roman"/>
          <w:b/>
          <w:bCs/>
          <w:highlight w:val="none"/>
        </w:rPr>
        <w:t xml:space="preserve"> et titulaire </w:t>
      </w:r>
      <w:r>
        <w:rPr>
          <w:rFonts w:hint="default" w:cs="Times New Roman"/>
          <w:b/>
          <w:bCs/>
          <w:highlight w:val="none"/>
          <w:lang w:val="en-US"/>
        </w:rPr>
        <w:t>cni</w:t>
      </w:r>
      <w:r>
        <w:rPr>
          <w:rFonts w:hint="default" w:ascii="Times New Roman" w:hAnsi="Times New Roman" w:cs="Times New Roman"/>
          <w:b/>
          <w:bCs/>
          <w:highlight w:val="none"/>
        </w:rPr>
        <w:t xml:space="preserve"> Ex blanditiis alias délivrée le 10/07/2024 Fonction : Qui odit elit esse, Tél : +1 (867) 229-2177</w:t>
      </w:r>
      <w:r>
        <w:rPr>
          <w:rFonts w:hint="default" w:cs="Times New Roman"/>
          <w:b/>
          <w:bCs/>
          <w:highlight w:val="none"/>
          <w:lang w:val="en-US"/>
        </w:rPr>
        <w:t>.</w:t>
      </w:r>
    </w:p>
    <w:bookmarkEnd w:id="1"/>
    <w:p>
      <w:pPr>
        <w:autoSpaceDE w:val="0"/>
        <w:autoSpaceDN w:val="0"/>
        <w:adjustRightInd w:val="0"/>
        <w:ind w:right="-141"/>
        <w:jc w:val="both"/>
        <w:rPr>
          <w:rFonts w:hint="default" w:ascii="Times New Roman" w:hAnsi="Times New Roman" w:cs="Times New Roman"/>
          <w:sz w:val="22"/>
          <w:szCs w:val="22"/>
        </w:rPr>
      </w:pPr>
    </w:p>
    <w:p>
      <w:pPr>
        <w:ind w:right="-141"/>
        <w:jc w:val="right"/>
        <w:rPr>
          <w:rFonts w:hint="default" w:ascii="Times New Roman" w:hAnsi="Times New Roman" w:cs="Times New Roman"/>
          <w:b/>
          <w:bCs/>
          <w:i/>
          <w:iCs/>
          <w:sz w:val="22"/>
          <w:szCs w:val="22"/>
        </w:rPr>
      </w:pPr>
      <w:r>
        <w:rPr>
          <w:rFonts w:hint="default" w:ascii="Times New Roman" w:hAnsi="Times New Roman" w:cs="Times New Roman"/>
          <w:sz w:val="22"/>
          <w:szCs w:val="22"/>
        </w:rPr>
        <w:t xml:space="preserve">Ci-après dénommée </w:t>
      </w:r>
      <w:r>
        <w:rPr>
          <w:rFonts w:hint="default" w:ascii="Times New Roman" w:hAnsi="Times New Roman" w:cs="Times New Roman"/>
          <w:b/>
          <w:bCs/>
          <w:sz w:val="22"/>
          <w:szCs w:val="22"/>
        </w:rPr>
        <w:t xml:space="preserve">« la Caution » </w:t>
      </w:r>
      <w:r>
        <w:rPr>
          <w:rFonts w:hint="default" w:ascii="Times New Roman" w:hAnsi="Times New Roman" w:cs="Times New Roman"/>
          <w:b/>
          <w:bCs/>
          <w:i/>
          <w:iCs/>
          <w:sz w:val="22"/>
          <w:szCs w:val="22"/>
        </w:rPr>
        <w:t>d’autre part</w:t>
      </w:r>
    </w:p>
    <w:p>
      <w:pPr>
        <w:ind w:right="-141"/>
        <w:jc w:val="both"/>
        <w:rPr>
          <w:rFonts w:hint="default" w:ascii="Times New Roman" w:hAnsi="Times New Roman" w:cs="Times New Roman"/>
          <w:b/>
          <w:bCs/>
          <w:i/>
          <w:iCs/>
          <w:sz w:val="22"/>
          <w:szCs w:val="22"/>
        </w:rPr>
      </w:pPr>
    </w:p>
    <w:p>
      <w:pPr>
        <w:rPr>
          <w:rFonts w:hint="default" w:ascii="Times New Roman" w:hAnsi="Times New Roman" w:cs="Times New Roman"/>
          <w:b/>
          <w:bCs/>
          <w:sz w:val="22"/>
          <w:szCs w:val="22"/>
        </w:rPr>
      </w:pPr>
      <w:r>
        <w:rPr>
          <w:rFonts w:hint="default" w:ascii="Times New Roman" w:hAnsi="Times New Roman" w:cs="Times New Roman"/>
          <w:b/>
          <w:bCs/>
          <w:sz w:val="22"/>
          <w:szCs w:val="22"/>
        </w:rPr>
        <w:br w:type="page"/>
      </w:r>
    </w:p>
    <w:p>
      <w:pPr>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Il a été convenu et arrêté ce qui suit :</w:t>
      </w:r>
    </w:p>
    <w:p>
      <w:pPr>
        <w:ind w:right="-14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Premier</w:t>
      </w:r>
      <w:r>
        <w:rPr>
          <w:rFonts w:hint="default" w:ascii="Times New Roman" w:hAnsi="Times New Roman" w:cs="Times New Roman"/>
          <w:b/>
          <w:bCs/>
          <w:sz w:val="22"/>
          <w:szCs w:val="22"/>
        </w:rPr>
        <w:t xml:space="preserve">. </w:t>
      </w:r>
      <w:r>
        <w:rPr>
          <w:rFonts w:hint="default" w:ascii="Times New Roman" w:hAnsi="Times New Roman" w:cs="Times New Roman"/>
          <w:b/>
          <w:bCs/>
          <w:i/>
          <w:iCs/>
          <w:sz w:val="22"/>
          <w:szCs w:val="22"/>
        </w:rPr>
        <w:t xml:space="preserve">– </w:t>
      </w:r>
      <w:r>
        <w:rPr>
          <w:rFonts w:hint="default" w:ascii="Times New Roman" w:hAnsi="Times New Roman" w:cs="Times New Roman"/>
          <w:b/>
          <w:bCs/>
          <w:sz w:val="22"/>
          <w:szCs w:val="22"/>
        </w:rPr>
        <w:t xml:space="preserve">OBJET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iCs/>
          <w:color w:val="000000"/>
          <w:highlight w:val="none"/>
        </w:rPr>
      </w:pPr>
      <w:r>
        <w:rPr>
          <w:rFonts w:hint="default" w:cs="Times New Roman"/>
          <w:b/>
          <w:bCs/>
          <w:highlight w:val="none"/>
          <w:lang w:val="en-US"/>
        </w:rPr>
        <w:t>Mr</w:t>
      </w:r>
      <w:r>
        <w:rPr>
          <w:rFonts w:hint="default" w:ascii="Times New Roman" w:hAnsi="Times New Roman" w:cs="Times New Roman"/>
          <w:b/>
          <w:bCs/>
          <w:highlight w:val="none"/>
        </w:rPr>
        <w:t xml:space="preserve"> - </w:t>
      </w:r>
      <w:r>
        <w:rPr>
          <w:rFonts w:hint="default" w:cs="Times New Roman"/>
          <w:b/>
          <w:bCs/>
          <w:highlight w:val="none"/>
          <w:lang w:val="en-US"/>
        </w:rPr>
        <w:t>Facilis et mollitia Duis assumenda lauda</w:t>
      </w:r>
      <w:r>
        <w:rPr>
          <w:rFonts w:hint="default" w:ascii="Times New Roman" w:hAnsi="Times New Roman" w:cs="Times New Roman"/>
          <w:b/>
          <w:bCs/>
          <w:highlight w:val="none"/>
        </w:rPr>
        <w:t xml:space="preserve"> </w:t>
      </w:r>
      <w:r>
        <w:rPr>
          <w:rFonts w:hint="default" w:ascii="Times New Roman" w:hAnsi="Times New Roman" w:cs="Times New Roman"/>
          <w:sz w:val="22"/>
          <w:szCs w:val="22"/>
          <w:highlight w:val="none"/>
        </w:rPr>
        <w:t>se porte Caution aux fins de garantir à titre personnel et solidaire, le remboursement de toutes les sommes dont la cautionnée</w:t>
      </w:r>
      <w:r>
        <w:rPr>
          <w:rFonts w:hint="default" w:ascii="Times New Roman" w:hAnsi="Times New Roman" w:eastAsia="Calibri" w:cs="Times New Roman"/>
          <w:b/>
          <w:bCs/>
          <w:color w:val="000000"/>
          <w:sz w:val="22"/>
          <w:szCs w:val="22"/>
          <w:highlight w:val="none"/>
          <w:lang w:eastAsia="en-US"/>
        </w:rPr>
        <w:t xml:space="preserve"> </w:t>
      </w:r>
      <w:r>
        <w:rPr>
          <w:rFonts w:hint="default" w:cs="Times New Roman"/>
          <w:b/>
          <w:bCs/>
          <w:highlight w:val="none"/>
          <w:lang w:val="en-US"/>
        </w:rPr>
        <w:t>Mr</w:t>
      </w:r>
      <w:r>
        <w:rPr>
          <w:rFonts w:hint="default" w:ascii="Times New Roman" w:hAnsi="Times New Roman" w:cs="Times New Roman"/>
          <w:b/>
          <w:bCs/>
          <w:highlight w:val="none"/>
        </w:rPr>
        <w:t xml:space="preserve"> </w:t>
      </w:r>
      <w:r>
        <w:rPr>
          <w:rFonts w:hint="default" w:cs="Times New Roman"/>
          <w:b/>
          <w:bCs/>
          <w:highlight w:val="none"/>
          <w:lang w:val="en-US"/>
        </w:rPr>
        <w:t>Rerum lorem id rerum Fuga Eos eius expli</w:t>
      </w:r>
      <w:r>
        <w:rPr>
          <w:rFonts w:hint="default" w:ascii="Times New Roman" w:hAnsi="Times New Roman" w:cs="Times New Roman"/>
          <w:b/>
          <w:bCs/>
          <w:iCs/>
          <w:color w:val="000000"/>
          <w:highlight w:val="none"/>
        </w:rPr>
        <w:t xml:space="preserve"> </w:t>
      </w:r>
      <w:r>
        <w:rPr>
          <w:rFonts w:hint="default" w:ascii="Times New Roman" w:hAnsi="Times New Roman" w:cs="Times New Roman"/>
          <w:sz w:val="22"/>
          <w:szCs w:val="22"/>
          <w:highlight w:val="none"/>
        </w:rPr>
        <w:t xml:space="preserve">client titulaire du compte </w:t>
      </w:r>
      <w:bookmarkStart w:id="2" w:name="_Hlk71196002"/>
      <w:r>
        <w:rPr>
          <w:rFonts w:hint="default" w:ascii="Times New Roman" w:hAnsi="Times New Roman" w:cs="Times New Roman"/>
          <w:b/>
          <w:sz w:val="22"/>
          <w:szCs w:val="22"/>
          <w:highlight w:val="none"/>
        </w:rPr>
        <w:t>N°</w:t>
      </w:r>
      <w:bookmarkEnd w:id="2"/>
      <w:r>
        <w:rPr>
          <w:rFonts w:hint="default" w:ascii="Times New Roman" w:hAnsi="Times New Roman" w:cs="Times New Roman"/>
          <w:b/>
          <w:sz w:val="22"/>
          <w:szCs w:val="22"/>
          <w:highlight w:val="none"/>
        </w:rPr>
        <w:t> </w:t>
      </w:r>
      <w:r>
        <w:rPr>
          <w:rFonts w:hint="default" w:cs="Times New Roman"/>
          <w:b/>
          <w:sz w:val="22"/>
          <w:szCs w:val="22"/>
          <w:highlight w:val="none"/>
          <w:lang w:val="en-US"/>
        </w:rPr>
        <w:t>Aut officia placeat </w:t>
      </w:r>
      <w:r>
        <w:rPr>
          <w:rFonts w:hint="default" w:ascii="Times New Roman" w:hAnsi="Times New Roman" w:cs="Times New Roman"/>
          <w:sz w:val="22"/>
          <w:szCs w:val="22"/>
          <w:highlight w:val="none"/>
        </w:rPr>
        <w:t>ouvert dans les livres de COFINA Togo SA, se trouve ou pourrait se trouver débiteur à raison du prêt qui lui est consenti, jusqu’à concurrence d’un montant maximum de</w:t>
      </w:r>
      <w:r>
        <w:rPr>
          <w:rFonts w:hint="default" w:ascii="Times New Roman" w:hAnsi="Times New Roman" w:cs="Times New Roman"/>
          <w:b/>
          <w:sz w:val="22"/>
          <w:szCs w:val="22"/>
          <w:highlight w:val="none"/>
        </w:rPr>
        <w:t xml:space="preserve"> </w:t>
      </w:r>
      <w:bookmarkStart w:id="3" w:name="_Hlk71203108"/>
      <w:r>
        <w:rPr>
          <w:rFonts w:hint="default" w:ascii="Times New Roman" w:hAnsi="Times New Roman" w:cs="Times New Roman"/>
          <w:b/>
          <w:bCs/>
          <w:sz w:val="22"/>
          <w:szCs w:val="22"/>
          <w:highlight w:val="none"/>
        </w:rPr>
        <w:t>sept millions cinq cent mille</w:t>
      </w:r>
      <w:r>
        <w:rPr>
          <w:rFonts w:hint="default" w:cs="Times New Roman"/>
          <w:b/>
          <w:bCs/>
          <w:sz w:val="22"/>
          <w:szCs w:val="22"/>
          <w:highlight w:val="none"/>
          <w:lang w:val="en-US"/>
        </w:rPr>
        <w:t xml:space="preserve"> (7 500 000)</w:t>
      </w:r>
      <w:r>
        <w:rPr>
          <w:rFonts w:hint="default" w:ascii="Times New Roman" w:hAnsi="Times New Roman" w:cs="Times New Roman"/>
          <w:b/>
          <w:bCs/>
          <w:sz w:val="22"/>
          <w:szCs w:val="22"/>
          <w:highlight w:val="none"/>
        </w:rPr>
        <w:t xml:space="preserve"> </w:t>
      </w:r>
      <w:r>
        <w:rPr>
          <w:rFonts w:hint="default" w:ascii="Times New Roman" w:hAnsi="Times New Roman" w:cs="Times New Roman"/>
          <w:b/>
          <w:sz w:val="22"/>
          <w:szCs w:val="22"/>
          <w:highlight w:val="none"/>
        </w:rPr>
        <w:t>FCFA</w:t>
      </w:r>
      <w:r>
        <w:rPr>
          <w:rFonts w:hint="default" w:ascii="Times New Roman" w:hAnsi="Times New Roman" w:cs="Times New Roman"/>
          <w:b/>
          <w:bCs/>
          <w:i/>
          <w:iCs/>
          <w:sz w:val="22"/>
          <w:szCs w:val="22"/>
          <w:highlight w:val="none"/>
        </w:rPr>
        <w:t xml:space="preserve"> </w:t>
      </w:r>
      <w:r>
        <w:rPr>
          <w:rFonts w:hint="default" w:ascii="Times New Roman" w:hAnsi="Times New Roman" w:cs="Times New Roman"/>
          <w:sz w:val="22"/>
          <w:szCs w:val="22"/>
          <w:highlight w:val="none"/>
        </w:rPr>
        <w:t xml:space="preserve">en principal, plus intérêts, commissions, pénalités, frais et accessoires quelconques. </w:t>
      </w:r>
    </w:p>
    <w:bookmarkEnd w:id="3"/>
    <w:p>
      <w:pPr>
        <w:tabs>
          <w:tab w:val="left" w:pos="6450"/>
        </w:tabs>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ab/>
      </w:r>
    </w:p>
    <w:p>
      <w:pPr>
        <w:tabs>
          <w:tab w:val="left" w:pos="6450"/>
        </w:tabs>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2</w:t>
      </w:r>
      <w:r>
        <w:rPr>
          <w:rFonts w:hint="default" w:ascii="Times New Roman" w:hAnsi="Times New Roman" w:cs="Times New Roman"/>
          <w:b/>
          <w:bCs/>
          <w:sz w:val="22"/>
          <w:szCs w:val="22"/>
        </w:rPr>
        <w:t xml:space="preserve">. – ETENDUE DU CAUTIONNEMENT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
        <w:jc w:val="both"/>
        <w:rPr>
          <w:rFonts w:hint="default" w:ascii="Times New Roman" w:hAnsi="Times New Roman" w:cs="Times New Roman"/>
          <w:sz w:val="22"/>
          <w:szCs w:val="22"/>
        </w:rPr>
      </w:pPr>
      <w:r>
        <w:rPr>
          <w:rFonts w:hint="default" w:ascii="Times New Roman" w:hAnsi="Times New Roman" w:cs="Times New Roman"/>
          <w:sz w:val="22"/>
          <w:szCs w:val="22"/>
        </w:rPr>
        <w:t>Le présent engagement oblige la Caution, à titre solidaire et personnel, sur tous ses biens meubles et immeubles, à payer à COFINA Togo SA ce que lui doit ou lui devra le Cautionné au cas où le client Cautionné ne pourrait faire face à ses obligations contractuelles directes et indirectes, pour un quelconque motif.</w:t>
      </w:r>
    </w:p>
    <w:p>
      <w:pPr>
        <w:autoSpaceDE w:val="0"/>
        <w:autoSpaceDN w:val="0"/>
        <w:adjustRightInd w:val="0"/>
        <w:ind w:right="1"/>
        <w:jc w:val="both"/>
        <w:rPr>
          <w:rFonts w:hint="default" w:ascii="Times New Roman" w:hAnsi="Times New Roman" w:cs="Times New Roman"/>
          <w:sz w:val="22"/>
          <w:szCs w:val="22"/>
        </w:rPr>
      </w:pPr>
    </w:p>
    <w:p>
      <w:pPr>
        <w:autoSpaceDE w:val="0"/>
        <w:autoSpaceDN w:val="0"/>
        <w:adjustRightInd w:val="0"/>
        <w:ind w:right="1"/>
        <w:jc w:val="both"/>
        <w:rPr>
          <w:rFonts w:hint="default" w:ascii="Times New Roman" w:hAnsi="Times New Roman" w:cs="Times New Roman"/>
          <w:i/>
          <w:iCs/>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3</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CARACTERISTIQUES DU CAUTIONNEMENT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La Caution, par les présentes, renonce expressément aux bénéfices de discussion et de division tant avec le débiteur principal qu’avec tous coobligés.</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4</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DECLARATIONS ET ENGAGEMENT DE LA CAUTION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La Caution déclare avoir pris personnellement connaissance et vérifié la situation financière du</w:t>
      </w: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Cautionné au moment de la signature des présentes.</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 xml:space="preserve">Elle s’engage expressément à ne pas se prévaloir des dispositions de l’article 23 alinéa 3 de l’Acte Uniforme OHADA portant Organisation des Sûretés et toutes autres dispositions qui, sans décharger la Caution de son engagement, l’autorise à poursuivre le Cautionné pour le contraindre au paiement ou obtenir une garantie ou une mesure conservatoire, au cas de délais de paiement accordés à celui-ci par </w:t>
      </w:r>
      <w:bookmarkStart w:id="4" w:name="_Hlk66263637"/>
      <w:r>
        <w:rPr>
          <w:rFonts w:hint="default" w:ascii="Times New Roman" w:hAnsi="Times New Roman" w:cs="Times New Roman"/>
          <w:sz w:val="22"/>
          <w:szCs w:val="22"/>
        </w:rPr>
        <w:t xml:space="preserve">COFINA Togo SA. </w:t>
      </w:r>
      <w:bookmarkEnd w:id="4"/>
      <w:r>
        <w:rPr>
          <w:rFonts w:hint="default" w:ascii="Times New Roman" w:hAnsi="Times New Roman" w:cs="Times New Roman"/>
          <w:sz w:val="22"/>
          <w:szCs w:val="22"/>
        </w:rPr>
        <w:t xml:space="preserve">Dès lors, si le cautionné obtient de tels délais de la part de COFINA Togo SA. La Caution qui reste tenue ne pourra poursuivre le Cautionné avant l’expiration de ces délais.  </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bookmarkStart w:id="5" w:name="_Hlk66263678"/>
      <w:r>
        <w:rPr>
          <w:rFonts w:hint="default" w:ascii="Times New Roman" w:hAnsi="Times New Roman" w:cs="Times New Roman"/>
          <w:sz w:val="22"/>
          <w:szCs w:val="22"/>
        </w:rPr>
        <w:t xml:space="preserve">La Caution </w:t>
      </w:r>
      <w:bookmarkEnd w:id="5"/>
      <w:r>
        <w:rPr>
          <w:rFonts w:hint="default" w:ascii="Times New Roman" w:hAnsi="Times New Roman" w:cs="Times New Roman"/>
          <w:sz w:val="22"/>
          <w:szCs w:val="22"/>
        </w:rPr>
        <w:t xml:space="preserve">s’engage expressément à ne pas se prévaloir de l’article 35 alinéa de l’Acte Uniforme OHADA portant Organisation des Sûretés et de toutes autres dispositions qui ont pour effet de la faire venir en concours avec COFINA Togo SA tant que cette dernière n’aura pas été désintéressée de la totalité des sommes dues en principal, intérêts, commissions, frais et de tous accessoires qui lui seront dues par le débiteur cautionné. </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5</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EXIGIBILITE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Toutes les sommes dues à COFINA Togo SA en principal, intérêts, commissions, frais et accessoires au titre du prêt garanti deviendront, sauf décision contraire de COFINA Togo SA immédiatement exigibles dès réception par la Caution d’une mise en demeure faite par COFINA Togo SA par lettre recommandée avec demande d’avis de réception en cas de survenance de l’un des événements ci-dessous :</w:t>
      </w:r>
    </w:p>
    <w:p>
      <w:pPr>
        <w:autoSpaceDE w:val="0"/>
        <w:autoSpaceDN w:val="0"/>
        <w:adjustRightInd w:val="0"/>
        <w:ind w:right="-141"/>
        <w:jc w:val="both"/>
        <w:rPr>
          <w:rFonts w:hint="default" w:ascii="Times New Roman" w:hAnsi="Times New Roman" w:cs="Times New Roman"/>
          <w:sz w:val="22"/>
          <w:szCs w:val="22"/>
        </w:rPr>
      </w:pPr>
    </w:p>
    <w:p>
      <w:pPr>
        <w:numPr>
          <w:ilvl w:val="0"/>
          <w:numId w:val="1"/>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Clôture du compte du client débiteur principal ou du compte de la Caution si celle-ci est</w:t>
      </w: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 xml:space="preserve">Cliente de COFINA Togo SA pour quelque cause que ce soit ;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Non-paiement pour quelque cause que ce soit par le client cautionné de toute somme due en principal, intérêts, commissions, frais et accessoires aux dates d’échéances prévues au titre du prêt, après une mise en demeure restée infructueuse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En cas d’admission du cautionné à une procédure collective d’apurement du passif ou à toute circonstance analogue ;</w:t>
      </w:r>
    </w:p>
    <w:p>
      <w:pPr>
        <w:autoSpaceDE w:val="0"/>
        <w:autoSpaceDN w:val="0"/>
        <w:adjustRightInd w:val="0"/>
        <w:ind w:left="454"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En cas de déchéance du terme applicable au client cautionné tel que définie par le Contrat de prêt ;</w:t>
      </w:r>
    </w:p>
    <w:p>
      <w:pPr>
        <w:autoSpaceDE w:val="0"/>
        <w:autoSpaceDN w:val="0"/>
        <w:adjustRightInd w:val="0"/>
        <w:ind w:right="-141"/>
        <w:jc w:val="both"/>
        <w:rPr>
          <w:rFonts w:hint="default" w:ascii="Times New Roman" w:hAnsi="Times New Roman" w:cs="Times New Roman"/>
          <w:sz w:val="22"/>
          <w:szCs w:val="22"/>
        </w:rPr>
      </w:pPr>
    </w:p>
    <w:p>
      <w:pPr>
        <w:numPr>
          <w:ilvl w:val="0"/>
          <w:numId w:val="2"/>
        </w:num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Au cas où plus généralement la Caution n’exécuterait pas l’une quelconque de ses obligations résultant des présentes, et s’il n’y était pas remédié dans un délai de quinze (15) jours à compter de la mise en demeure faite par COFINA Togo SA à la Caution.</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6</w:t>
      </w:r>
      <w:r>
        <w:rPr>
          <w:rFonts w:hint="default" w:ascii="Times New Roman" w:hAnsi="Times New Roman" w:cs="Times New Roman"/>
          <w:b/>
          <w:bCs/>
          <w:sz w:val="22"/>
          <w:szCs w:val="22"/>
        </w:rPr>
        <w:t xml:space="preserve">. - INDIVISIBILITE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Toutes les obligations, résultant du présent contrat pour la Caution, sont stipulées indivisibles de telle sorte que leur exécution pourra être réclamée pour leur totalité à n’importe lequel des héritiers ou ayant droits de la Caution</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7</w:t>
      </w:r>
      <w:r>
        <w:rPr>
          <w:rFonts w:hint="default" w:ascii="Times New Roman" w:hAnsi="Times New Roman" w:cs="Times New Roman"/>
          <w:b/>
          <w:bCs/>
          <w:sz w:val="22"/>
          <w:szCs w:val="22"/>
        </w:rPr>
        <w:t xml:space="preserve">. – DUREE DE VALIDITE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sz w:val="22"/>
          <w:szCs w:val="22"/>
        </w:rPr>
        <w:t>Le présent Cautionnement restera en vigueur tant que le débiteur cautionné restera devoir une</w:t>
      </w:r>
      <w:r>
        <w:rPr>
          <w:rFonts w:hint="default" w:ascii="Times New Roman" w:hAnsi="Times New Roman" w:cs="Times New Roman"/>
          <w:b/>
          <w:bCs/>
          <w:sz w:val="22"/>
          <w:szCs w:val="22"/>
        </w:rPr>
        <w:t xml:space="preserve"> </w:t>
      </w:r>
      <w:r>
        <w:rPr>
          <w:rFonts w:hint="default" w:ascii="Times New Roman" w:hAnsi="Times New Roman" w:cs="Times New Roman"/>
          <w:sz w:val="22"/>
          <w:szCs w:val="22"/>
        </w:rPr>
        <w:t>quelconque somme au titre du prêt consenti par COFINA Togo SA.</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8</w:t>
      </w:r>
      <w:r>
        <w:rPr>
          <w:rFonts w:hint="default" w:ascii="Times New Roman" w:hAnsi="Times New Roman" w:cs="Times New Roman"/>
          <w:b/>
          <w:bCs/>
          <w:sz w:val="22"/>
          <w:szCs w:val="22"/>
        </w:rPr>
        <w:t xml:space="preserve">. - CORRESPONDANCES – ELECTION DE DOMICILE </w:t>
      </w:r>
    </w:p>
    <w:p>
      <w:pPr>
        <w:tabs>
          <w:tab w:val="left" w:pos="6212"/>
        </w:tabs>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rPr>
        <w:tab/>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Toute communication, demande ou notification devant être réalisée en vertu des présentes ou de leurs suites sera valablement réalisée si elle est adressée par lettre recommandée avec demande d’avis de réception ou par télécopie confirmée par lettre recommandée avec accusé de réception à l’une ou l’autre des parties à leur adresse respective sus-indiquée en entête.</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Domicile est élu par les parties en leur adresse respective figurant en entête des présentes dans le ressort du Greffe du Tribunal de commerce de Lomé.</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9</w:t>
      </w:r>
      <w:r>
        <w:rPr>
          <w:rFonts w:hint="default" w:ascii="Times New Roman" w:hAnsi="Times New Roman" w:cs="Times New Roman"/>
          <w:b/>
          <w:bCs/>
          <w:sz w:val="22"/>
          <w:szCs w:val="22"/>
        </w:rPr>
        <w:t xml:space="preserve">. – INFORMATION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COFINA Togo SA informera la Caution de toute défaillance, déchéance ou prorogation du terme applicable au client cautionné ainsi que de l’évolution de l’endettement de celui-ci.</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10</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DROITS ET FRAIS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Tous les frais et droits auxquels donnent ou pourront donner lieu le présent contrat et son exécution seront supportés par la Caution qui s’y oblige.</w:t>
      </w: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u w:val="single"/>
        </w:rPr>
      </w:pPr>
    </w:p>
    <w:p>
      <w:pPr>
        <w:autoSpaceDE w:val="0"/>
        <w:autoSpaceDN w:val="0"/>
        <w:adjustRightInd w:val="0"/>
        <w:ind w:right="-141"/>
        <w:jc w:val="both"/>
        <w:rPr>
          <w:rFonts w:hint="default" w:ascii="Times New Roman" w:hAnsi="Times New Roman" w:cs="Times New Roman"/>
          <w:b/>
          <w:bCs/>
          <w:sz w:val="22"/>
          <w:szCs w:val="22"/>
        </w:rPr>
      </w:pPr>
      <w:r>
        <w:rPr>
          <w:rFonts w:hint="default" w:ascii="Times New Roman" w:hAnsi="Times New Roman" w:cs="Times New Roman"/>
          <w:b/>
          <w:bCs/>
          <w:sz w:val="22"/>
          <w:szCs w:val="22"/>
          <w:u w:val="single"/>
        </w:rPr>
        <w:t>ARTICLE 11</w:t>
      </w:r>
      <w:r>
        <w:rPr>
          <w:rFonts w:hint="default" w:ascii="Times New Roman" w:hAnsi="Times New Roman" w:cs="Times New Roman"/>
          <w:b/>
          <w:bCs/>
          <w:i/>
          <w:iCs/>
          <w:sz w:val="22"/>
          <w:szCs w:val="22"/>
        </w:rPr>
        <w:t xml:space="preserve">. – </w:t>
      </w:r>
      <w:r>
        <w:rPr>
          <w:rFonts w:hint="default" w:ascii="Times New Roman" w:hAnsi="Times New Roman" w:cs="Times New Roman"/>
          <w:b/>
          <w:bCs/>
          <w:sz w:val="22"/>
          <w:szCs w:val="22"/>
        </w:rPr>
        <w:t xml:space="preserve">DROIT APPLICABLE – ATTRIBUTION DE COMPETENCE </w:t>
      </w:r>
    </w:p>
    <w:p>
      <w:pPr>
        <w:autoSpaceDE w:val="0"/>
        <w:autoSpaceDN w:val="0"/>
        <w:adjustRightInd w:val="0"/>
        <w:ind w:right="-141"/>
        <w:jc w:val="both"/>
        <w:rPr>
          <w:rFonts w:hint="default" w:ascii="Times New Roman" w:hAnsi="Times New Roman" w:cs="Times New Roman"/>
          <w:b/>
          <w:bCs/>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Le présent contrat est régi par les actes uniformes du traité OHADA et par toute disposition compatible de la loi Togolaise.</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both"/>
        <w:rPr>
          <w:rFonts w:hint="default" w:ascii="Times New Roman" w:hAnsi="Times New Roman" w:cs="Times New Roman"/>
          <w:sz w:val="22"/>
          <w:szCs w:val="22"/>
        </w:rPr>
      </w:pPr>
      <w:r>
        <w:rPr>
          <w:rFonts w:hint="default" w:ascii="Times New Roman" w:hAnsi="Times New Roman" w:cs="Times New Roman"/>
          <w:sz w:val="22"/>
          <w:szCs w:val="22"/>
        </w:rPr>
        <w:t>Tous différends et litiges relatifs à son interprétation, son exécution, ses suites et ses conséquences, seront de la seule compétence des Juridictions Togolaises.</w:t>
      </w:r>
    </w:p>
    <w:p>
      <w:pPr>
        <w:autoSpaceDE w:val="0"/>
        <w:autoSpaceDN w:val="0"/>
        <w:adjustRightInd w:val="0"/>
        <w:ind w:right="-141"/>
        <w:jc w:val="both"/>
        <w:rPr>
          <w:rFonts w:hint="default" w:ascii="Times New Roman" w:hAnsi="Times New Roman" w:cs="Times New Roman"/>
          <w:sz w:val="22"/>
          <w:szCs w:val="22"/>
        </w:rPr>
      </w:pPr>
    </w:p>
    <w:p>
      <w:pPr>
        <w:autoSpaceDE w:val="0"/>
        <w:autoSpaceDN w:val="0"/>
        <w:adjustRightInd w:val="0"/>
        <w:ind w:right="-141"/>
        <w:jc w:val="center"/>
        <w:rPr>
          <w:rFonts w:hint="default" w:ascii="Times New Roman" w:hAnsi="Times New Roman" w:cs="Times New Roman"/>
          <w:sz w:val="22"/>
          <w:szCs w:val="22"/>
        </w:rPr>
      </w:pPr>
      <w:r>
        <w:rPr>
          <w:rFonts w:hint="default" w:ascii="Times New Roman" w:hAnsi="Times New Roman" w:cs="Times New Roman"/>
          <w:sz w:val="22"/>
          <w:szCs w:val="22"/>
        </w:rPr>
        <w:t xml:space="preserve">                                                                                                                          Fait à Lomé le ………………….</w:t>
      </w:r>
    </w:p>
    <w:p>
      <w:pPr>
        <w:autoSpaceDE w:val="0"/>
        <w:autoSpaceDN w:val="0"/>
        <w:adjustRightInd w:val="0"/>
        <w:ind w:right="-141"/>
        <w:jc w:val="right"/>
        <w:rPr>
          <w:rFonts w:hint="default" w:ascii="Times New Roman" w:hAnsi="Times New Roman" w:cs="Times New Roman"/>
          <w:sz w:val="22"/>
          <w:szCs w:val="22"/>
        </w:rPr>
      </w:pPr>
      <w:r>
        <w:rPr>
          <w:rFonts w:hint="default" w:ascii="Times New Roman" w:hAnsi="Times New Roman" w:cs="Times New Roman"/>
          <w:sz w:val="22"/>
          <w:szCs w:val="22"/>
        </w:rPr>
        <w:t>En trois (3) exemplaires originaux</w:t>
      </w:r>
    </w:p>
    <w:p>
      <w:pPr>
        <w:autoSpaceDE w:val="0"/>
        <w:autoSpaceDN w:val="0"/>
        <w:adjustRightInd w:val="0"/>
        <w:ind w:right="-141"/>
        <w:jc w:val="both"/>
        <w:rPr>
          <w:rFonts w:hint="default" w:ascii="Times New Roman" w:hAnsi="Times New Roman" w:cs="Times New Roman"/>
          <w:sz w:val="22"/>
          <w:szCs w:val="22"/>
        </w:rPr>
      </w:pPr>
    </w:p>
    <w:p>
      <w:pPr>
        <w:rPr>
          <w:rFonts w:hint="default" w:ascii="Times New Roman" w:hAnsi="Times New Roman" w:cs="Times New Roman"/>
          <w:b/>
        </w:rPr>
      </w:pPr>
      <w:r>
        <w:rPr>
          <w:rFonts w:hint="default" w:ascii="Times New Roman" w:hAnsi="Times New Roman" w:cs="Times New Roman"/>
          <w:b/>
        </w:rPr>
        <w:br w:type="page"/>
      </w:r>
    </w:p>
    <w:p>
      <w:pPr>
        <w:jc w:val="center"/>
        <w:rPr>
          <w:rFonts w:hint="default" w:ascii="Times New Roman" w:hAnsi="Times New Roman" w:cs="Times New Roman"/>
          <w:b/>
          <w:bCs/>
          <w:iCs/>
          <w:vertAlign w:val="baseline"/>
        </w:rPr>
      </w:pPr>
      <w:r>
        <w:rPr>
          <w:rFonts w:hint="default" w:ascii="Times New Roman" w:hAnsi="Times New Roman" w:cs="Times New Roman"/>
          <w:b/>
        </w:rPr>
        <w:t>Pour l’Institution</w:t>
      </w:r>
    </w:p>
    <w:tbl>
      <w:tblPr>
        <w:tblStyle w:val="6"/>
        <w:tblpPr w:leftFromText="180" w:rightFromText="180" w:vertAnchor="text" w:horzAnchor="page" w:tblpX="8058" w:tblpY="43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5" w:hRule="atLeast"/>
        </w:trPr>
        <w:tc>
          <w:tcPr>
            <w:tcW w:w="3128" w:type="dxa"/>
            <w:tcBorders>
              <w:tl2br w:val="nil"/>
              <w:tr2bl w:val="nil"/>
            </w:tcBorders>
          </w:tcPr>
          <w:p>
            <w:pPr>
              <w:widowControl w:val="0"/>
              <w:jc w:val="left"/>
              <w:rPr>
                <w:rFonts w:hint="default" w:ascii="Times New Roman" w:hAnsi="Times New Roman" w:cs="Times New Roman"/>
                <w:b/>
                <w:bCs/>
                <w:iCs/>
                <w:vertAlign w:val="baseline"/>
                <w:lang w:val="en-US"/>
              </w:rPr>
            </w:pPr>
            <w:r>
              <w:rPr>
                <w:rFonts w:hint="default" w:ascii="Times New Roman" w:hAnsi="Times New Roman" w:cs="Times New Roman"/>
                <w:b/>
                <w:bCs/>
                <w:iCs/>
                <w:color w:val="000000"/>
              </w:rPr>
              <w:t>Madame Ameh Délali MESSANGAN épouse AMEDEMEGNAH, Responsable juridique</w:t>
            </w:r>
          </w:p>
        </w:tc>
      </w:tr>
    </w:tbl>
    <w:p>
      <w:pPr>
        <w:jc w:val="both"/>
        <w:rPr>
          <w:rFonts w:hint="default" w:ascii="Times New Roman" w:hAnsi="Times New Roman" w:cs="Times New Roman"/>
          <w:b/>
          <w:bCs/>
          <w:iCs/>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57" w:hRule="atLeast"/>
        </w:trPr>
        <w:tc>
          <w:tcPr>
            <w:tcW w:w="3624" w:type="dxa"/>
            <w:tcBorders>
              <w:tl2br w:val="nil"/>
              <w:tr2bl w:val="nil"/>
            </w:tcBorders>
          </w:tcPr>
          <w:p>
            <w:pPr>
              <w:widowControl w:val="0"/>
              <w:spacing w:before="0" w:after="0"/>
              <w:jc w:val="both"/>
              <w:rPr>
                <w:rFonts w:hint="default" w:ascii="Times New Roman" w:hAnsi="Times New Roman" w:cs="Times New Roman"/>
                <w:b/>
                <w:bCs/>
                <w:iCs/>
                <w:color w:val="000000"/>
                <w:sz w:val="24"/>
                <w:szCs w:val="24"/>
              </w:rPr>
            </w:pPr>
            <w:r>
              <w:rPr>
                <w:rFonts w:hint="default" w:ascii="Times New Roman" w:hAnsi="Times New Roman" w:cs="Times New Roman"/>
                <w:b/>
                <w:bCs/>
                <w:iCs/>
                <w:sz w:val="24"/>
                <w:szCs w:val="24"/>
              </w:rPr>
              <w:t xml:space="preserve">Mme. Christèle F. R. FEBON </w:t>
            </w:r>
            <w:r>
              <w:rPr>
                <w:rFonts w:hint="default" w:ascii="Times New Roman" w:hAnsi="Times New Roman" w:cs="Times New Roman"/>
                <w:bCs/>
                <w:iCs/>
                <w:sz w:val="24"/>
                <w:szCs w:val="24"/>
              </w:rPr>
              <w:t>épse</w:t>
            </w:r>
            <w:r>
              <w:rPr>
                <w:rFonts w:hint="default" w:ascii="Times New Roman" w:hAnsi="Times New Roman" w:cs="Times New Roman"/>
                <w:b/>
                <w:bCs/>
                <w:iCs/>
                <w:sz w:val="24"/>
                <w:szCs w:val="24"/>
              </w:rPr>
              <w:t xml:space="preserve"> JOHNSON        </w:t>
            </w:r>
          </w:p>
          <w:p>
            <w:pPr>
              <w:widowControl w:val="0"/>
              <w:jc w:val="both"/>
              <w:rPr>
                <w:rFonts w:hint="default" w:ascii="Times New Roman" w:hAnsi="Times New Roman" w:cs="Times New Roman"/>
                <w:b/>
                <w:sz w:val="24"/>
                <w:szCs w:val="24"/>
                <w:vertAlign w:val="baseline"/>
              </w:rPr>
            </w:pPr>
            <w:r>
              <w:rPr>
                <w:rFonts w:hint="default" w:ascii="Times New Roman" w:hAnsi="Times New Roman" w:cs="Times New Roman"/>
                <w:bCs/>
                <w:iCs/>
                <w:sz w:val="24"/>
                <w:szCs w:val="24"/>
              </w:rPr>
              <w:t>Directrice d’exploitation</w:t>
            </w:r>
          </w:p>
        </w:tc>
      </w:tr>
    </w:tbl>
    <w:p>
      <w:pPr>
        <w:jc w:val="center"/>
        <w:rPr>
          <w:rFonts w:hint="default" w:ascii="Times New Roman" w:hAnsi="Times New Roman" w:cs="Times New Roman"/>
          <w:b/>
        </w:rPr>
      </w:pPr>
    </w:p>
    <w:p>
      <w:pPr>
        <w:jc w:val="center"/>
        <w:rPr>
          <w:rFonts w:hint="default" w:ascii="Times New Roman" w:hAnsi="Times New Roman" w:cs="Times New Roman"/>
          <w:b/>
        </w:rPr>
      </w:pPr>
      <w:r>
        <w:rPr>
          <w:rFonts w:hint="default" w:ascii="Times New Roman" w:hAnsi="Times New Roman" w:cs="Times New Roman"/>
          <w:b/>
        </w:rPr>
        <w:t>Pour la caution</w:t>
      </w:r>
    </w:p>
    <w:p>
      <w:pPr>
        <w:rPr>
          <w:rFonts w:hint="default" w:ascii="Times New Roman" w:hAnsi="Times New Roman" w:cs="Times New Roman"/>
          <w:b/>
        </w:rPr>
      </w:pPr>
    </w:p>
    <w:p>
      <w:pPr>
        <w:jc w:val="center"/>
        <w:rPr>
          <w:rFonts w:hint="default" w:ascii="Times New Roman" w:hAnsi="Times New Roman" w:cs="Times New Roman"/>
          <w:b/>
        </w:rPr>
      </w:pPr>
    </w:p>
    <w:p>
      <w:pPr>
        <w:jc w:val="center"/>
        <w:rPr>
          <w:rFonts w:hint="default" w:ascii="Times New Roman" w:hAnsi="Times New Roman" w:cs="Times New Roman"/>
          <w:b/>
          <w:bCs/>
          <w:iCs/>
          <w:highlight w:val="none"/>
          <w:lang w:val="en-US"/>
        </w:rPr>
      </w:pPr>
      <w:r>
        <w:rPr>
          <w:rFonts w:hint="default" w:ascii="Times New Roman" w:hAnsi="Times New Roman" w:cs="Times New Roman"/>
          <w:b/>
          <w:bCs/>
          <w:iCs/>
          <w:highlight w:val="none"/>
        </w:rPr>
        <w:t xml:space="preserve">   Mr Facilis et mollitia Duis assumenda lauda</w:t>
      </w:r>
    </w:p>
    <w:p>
      <w:pPr>
        <w:rPr>
          <w:rFonts w:hint="default" w:ascii="Times New Roman" w:hAnsi="Times New Roman" w:cs="Times New Roman"/>
        </w:rPr>
      </w:pPr>
    </w:p>
    <w:sectPr>
      <w:headerReference r:id="rId5" w:type="default"/>
      <w:footerReference r:id="rId6" w:type="default"/>
      <w:footnotePr>
        <w:numFmt w:val="chicago"/>
        <w:numRestart w:val="eachPage"/>
      </w:footnotePr>
      <w:pgSz w:w="11906" w:h="16838"/>
      <w:pgMar w:top="899" w:right="707" w:bottom="709" w:left="1417" w:header="454" w:footer="1020"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0000000000000000000"/>
    <w:charset w:val="00"/>
    <w:family w:val="auto"/>
    <w:pitch w:val="default"/>
    <w:sig w:usb0="00000000" w:usb1="00000000" w:usb2="00000000" w:usb3="00000000" w:csb0="80000000" w:csb1="00000000"/>
  </w:font>
  <w:font w:name="Calibri">
    <w:altName w:val="Trebuchet MS"/>
    <w:panose1 w:val="020F0502020204030204"/>
    <w:charset w:val="86"/>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Trebuchet MS"/>
    <w:panose1 w:val="020F0502020204030204"/>
    <w:charset w:val="86"/>
    <w:family w:val="swiss"/>
    <w:pitch w:val="default"/>
    <w:sig w:usb0="00000000" w:usb1="00000000" w:usb2="00000001" w:usb3="00000000" w:csb0="0000019F" w:csb1="00000000"/>
  </w:font>
  <w:font w:name="Calibri">
    <w:altName w:val="Trebuchet MS"/>
    <w:panose1 w:val="00000000000000000000"/>
    <w:charset w:val="00"/>
    <w:family w:val="auto"/>
    <w:pitch w:val="default"/>
    <w:sig w:usb0="00000000" w:usb1="00000000" w:usb2="00000000" w:usb3="00000000" w:csb0="00000000" w:csb1="00000000"/>
  </w:font>
  <w:font w:name="Book Antiqua">
    <w:altName w:val="Georgia"/>
    <w:panose1 w:val="02040602050305030304"/>
    <w:charset w:val="00"/>
    <w:family w:val="roman"/>
    <w:pitch w:val="default"/>
    <w:sig w:usb0="00000000" w:usb1="00000000" w:usb2="00000000" w:usb3="00000000" w:csb0="0000009F"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Cambria">
    <w:altName w:val="Georgia"/>
    <w:panose1 w:val="02040503050406030204"/>
    <w:charset w:val="00"/>
    <w:family w:val="roman"/>
    <w:pitch w:val="default"/>
    <w:sig w:usb0="00000000" w:usb1="00000000"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left"/>
      <w:rPr>
        <w:rFonts w:asciiTheme="minorHAnsi" w:hAnsiTheme="minorHAnsi"/>
        <w:b/>
        <w:sz w:val="22"/>
        <w:szCs w:val="22"/>
      </w:rPr>
    </w:pPr>
    <w:r>
      <w:rPr>
        <w:rFonts w:asciiTheme="minorHAnsi" w:hAnsiTheme="minorHAnsi" w:cstheme="minorHAnsi"/>
        <w:sz w:val="16"/>
        <w:szCs w:val="16"/>
      </w:rPr>
      <w:t>CONTRAT DE CAUTIONNEMENT</w:t>
    </w:r>
    <w:r>
      <w:rPr>
        <w:rFonts w:asciiTheme="minorHAnsi" w:hAnsiTheme="minorHAnsi" w:cstheme="minorHAnsi"/>
        <w:sz w:val="16"/>
        <w:szCs w:val="16"/>
        <w:highlight w:val="none"/>
      </w:rPr>
      <w:t xml:space="preserve"> –</w:t>
    </w:r>
    <w:r>
      <w:rPr>
        <w:b/>
        <w:bCs/>
        <w:highlight w:val="none"/>
      </w:rPr>
      <w:t xml:space="preserve"> </w:t>
    </w:r>
    <w:r>
      <w:rPr>
        <w:rFonts w:hint="default" w:ascii="Cambria" w:hAnsi="Cambria" w:eastAsia="Calibri"/>
        <w:b/>
        <w:bCs/>
        <w:color w:val="000000"/>
        <w:sz w:val="22"/>
        <w:szCs w:val="22"/>
        <w:highlight w:val="none"/>
        <w:lang w:eastAsia="en-US"/>
      </w:rPr>
      <w:t>Mr</w:t>
    </w:r>
    <w:r>
      <w:rPr>
        <w:rFonts w:hint="default" w:ascii="Cambria" w:hAnsi="Cambria" w:eastAsia="Calibri"/>
        <w:b/>
        <w:bCs/>
        <w:color w:val="000000"/>
        <w:sz w:val="22"/>
        <w:szCs w:val="22"/>
        <w:highlight w:val="none"/>
        <w:lang w:val="en-US" w:eastAsia="en-US"/>
      </w:rPr>
      <w:t xml:space="preserve"> </w:t>
    </w:r>
    <w:r>
      <w:rPr>
        <w:rFonts w:hint="default" w:ascii="Cambria" w:hAnsi="Cambria" w:eastAsia="Calibri"/>
        <w:b/>
        <w:bCs/>
        <w:color w:val="000000"/>
        <w:sz w:val="22"/>
        <w:szCs w:val="22"/>
        <w:highlight w:val="none"/>
        <w:lang w:eastAsia="en-US"/>
      </w:rPr>
      <w:t>Rerum lorem id rerum</w:t>
    </w:r>
    <w:r>
      <w:rPr>
        <w:rFonts w:hint="default" w:ascii="Cambria" w:hAnsi="Cambria" w:eastAsia="Calibri"/>
        <w:b/>
        <w:bCs/>
        <w:color w:val="000000"/>
        <w:sz w:val="22"/>
        <w:szCs w:val="22"/>
        <w:highlight w:val="none"/>
        <w:lang w:val="en-US" w:eastAsia="en-US"/>
      </w:rPr>
      <w:t xml:space="preserve"> </w:t>
    </w:r>
    <w:r>
      <w:rPr>
        <w:rFonts w:hint="default" w:ascii="Cambria" w:hAnsi="Cambria" w:eastAsia="Calibri"/>
        <w:b/>
        <w:bCs/>
        <w:color w:val="000000"/>
        <w:sz w:val="22"/>
        <w:szCs w:val="22"/>
        <w:highlight w:val="none"/>
        <w:lang w:eastAsia="en-US"/>
      </w:rPr>
      <w:t>Fuga Eos eius expli</w:t>
    </w:r>
    <w:r>
      <w:rPr>
        <w:rFonts w:asciiTheme="minorHAnsi" w:hAnsiTheme="minorHAnsi" w:cstheme="minorHAnsi"/>
        <w:b/>
        <w:bCs/>
        <w:sz w:val="16"/>
        <w:szCs w:val="16"/>
      </w:rPr>
      <w:tab/>
    </w:r>
    <w:r>
      <w:rPr>
        <w:rFonts w:asciiTheme="minorHAnsi" w:hAnsiTheme="minorHAnsi" w:cstheme="minorHAnsi"/>
        <w:sz w:val="16"/>
        <w:szCs w:val="16"/>
      </w:rPr>
      <w:tab/>
    </w:r>
    <w:r>
      <w:rPr>
        <w:rFonts w:asciiTheme="minorHAnsi" w:hAnsiTheme="minorHAnsi" w:cstheme="minorHAnsi"/>
        <w:sz w:val="16"/>
        <w:szCs w:val="16"/>
      </w:rPr>
      <w:fldChar w:fldCharType="begin"/>
    </w:r>
    <w:r>
      <w:rPr>
        <w:rFonts w:asciiTheme="minorHAnsi" w:hAnsiTheme="minorHAnsi" w:cstheme="minorHAnsi"/>
        <w:sz w:val="16"/>
        <w:szCs w:val="16"/>
      </w:rPr>
      <w:instrText xml:space="preserve"> PAGE  \* Arabic  \* MERGEFORMAT </w:instrText>
    </w:r>
    <w:r>
      <w:rPr>
        <w:rFonts w:asciiTheme="minorHAnsi" w:hAnsiTheme="minorHAnsi" w:cstheme="minorHAnsi"/>
        <w:sz w:val="16"/>
        <w:szCs w:val="16"/>
      </w:rPr>
      <w:fldChar w:fldCharType="separate"/>
    </w:r>
    <w:r>
      <w:rPr>
        <w:rFonts w:asciiTheme="minorHAnsi" w:hAnsiTheme="minorHAnsi" w:cstheme="minorHAnsi"/>
        <w:sz w:val="16"/>
        <w:szCs w:val="16"/>
      </w:rPr>
      <w:t>3</w:t>
    </w:r>
    <w:r>
      <w:rPr>
        <w:rFonts w:asciiTheme="minorHAnsi" w:hAnsiTheme="minorHAnsi" w:cstheme="minorHAnsi"/>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4862"/>
        <w:tab w:val="left" w:pos="5031"/>
      </w:tabs>
    </w:pPr>
    <w:r>
      <w:rPr>
        <w:b/>
        <w:bCs/>
        <w:i/>
        <w:iCs/>
        <w:sz w:val="22"/>
        <w:szCs w:val="22"/>
      </w:rPr>
      <w:t xml:space="preserve">                                    </w:t>
    </w:r>
    <w:r>
      <w:drawing>
        <wp:inline distT="0" distB="0" distL="0" distR="0">
          <wp:extent cx="2752725" cy="75247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p>
    <w:pPr>
      <w:tabs>
        <w:tab w:val="left" w:pos="4862"/>
        <w:tab w:val="left" w:pos="5031"/>
      </w:tabs>
    </w:pPr>
  </w:p>
  <w:p>
    <w:pPr>
      <w:tabs>
        <w:tab w:val="left" w:pos="4862"/>
        <w:tab w:val="left" w:pos="5031"/>
      </w:tabs>
      <w:rPr>
        <w:rFonts w:hint="default"/>
        <w:lang w:val="en-US"/>
      </w:rPr>
    </w:pPr>
    <w:r>
      <w:rPr>
        <w:rFonts w:hint="default"/>
        <w:lang w:val="en-US"/>
      </w:rPr>
      <w:t>N°Consequuntur laborio</w:t>
    </w:r>
  </w:p>
  <w:p>
    <w:pPr>
      <w:tabs>
        <w:tab w:val="left" w:pos="4862"/>
        <w:tab w:val="left" w:pos="5031"/>
      </w:tabs>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E04154"/>
    <w:multiLevelType w:val="multilevel"/>
    <w:tmpl w:val="21E04154"/>
    <w:lvl w:ilvl="0" w:tentative="0">
      <w:start w:val="0"/>
      <w:numFmt w:val="bullet"/>
      <w:lvlText w:val="-"/>
      <w:lvlJc w:val="left"/>
      <w:pPr>
        <w:tabs>
          <w:tab w:val="left" w:pos="794"/>
        </w:tabs>
        <w:ind w:left="851" w:hanging="397"/>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69385485"/>
    <w:multiLevelType w:val="multilevel"/>
    <w:tmpl w:val="69385485"/>
    <w:lvl w:ilvl="0" w:tentative="0">
      <w:start w:val="0"/>
      <w:numFmt w:val="bullet"/>
      <w:lvlText w:val="-"/>
      <w:lvlJc w:val="left"/>
      <w:pPr>
        <w:tabs>
          <w:tab w:val="left" w:pos="794"/>
        </w:tabs>
        <w:ind w:left="851" w:hanging="397"/>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hyphenationZone w:val="425"/>
  <w:characterSpacingControl w:val="doNotCompress"/>
  <w:footnotePr>
    <w:numFmt w:val="chicago"/>
    <w:numRestart w:val="eachPage"/>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5469"/>
    <w:rsid w:val="00002015"/>
    <w:rsid w:val="00002857"/>
    <w:rsid w:val="00061397"/>
    <w:rsid w:val="00063B14"/>
    <w:rsid w:val="000B270F"/>
    <w:rsid w:val="001D0D43"/>
    <w:rsid w:val="00213FD5"/>
    <w:rsid w:val="002142D5"/>
    <w:rsid w:val="00222601"/>
    <w:rsid w:val="00236D1E"/>
    <w:rsid w:val="0024003B"/>
    <w:rsid w:val="002448DD"/>
    <w:rsid w:val="00257DF9"/>
    <w:rsid w:val="002917FB"/>
    <w:rsid w:val="002D30D3"/>
    <w:rsid w:val="00372D2E"/>
    <w:rsid w:val="0039094E"/>
    <w:rsid w:val="00404826"/>
    <w:rsid w:val="00407630"/>
    <w:rsid w:val="004662F1"/>
    <w:rsid w:val="00501A93"/>
    <w:rsid w:val="005332E1"/>
    <w:rsid w:val="00565469"/>
    <w:rsid w:val="00583C12"/>
    <w:rsid w:val="005A2CB6"/>
    <w:rsid w:val="005A4882"/>
    <w:rsid w:val="005A62B3"/>
    <w:rsid w:val="005B3D16"/>
    <w:rsid w:val="005B3E22"/>
    <w:rsid w:val="0061408D"/>
    <w:rsid w:val="0068581E"/>
    <w:rsid w:val="006E192B"/>
    <w:rsid w:val="006E1ED4"/>
    <w:rsid w:val="00711CC2"/>
    <w:rsid w:val="007308D4"/>
    <w:rsid w:val="0074055E"/>
    <w:rsid w:val="007548EF"/>
    <w:rsid w:val="007646C5"/>
    <w:rsid w:val="007B2857"/>
    <w:rsid w:val="008D1BFC"/>
    <w:rsid w:val="00901D81"/>
    <w:rsid w:val="00912EC5"/>
    <w:rsid w:val="0092434C"/>
    <w:rsid w:val="00924BE9"/>
    <w:rsid w:val="009349A0"/>
    <w:rsid w:val="009925F0"/>
    <w:rsid w:val="009B509B"/>
    <w:rsid w:val="00A136EC"/>
    <w:rsid w:val="00AA10A7"/>
    <w:rsid w:val="00AB1716"/>
    <w:rsid w:val="00AB26A7"/>
    <w:rsid w:val="00AB578A"/>
    <w:rsid w:val="00B41351"/>
    <w:rsid w:val="00BA0354"/>
    <w:rsid w:val="00BB198F"/>
    <w:rsid w:val="00C1074F"/>
    <w:rsid w:val="00C2190B"/>
    <w:rsid w:val="00C24302"/>
    <w:rsid w:val="00C44FCD"/>
    <w:rsid w:val="00C90885"/>
    <w:rsid w:val="00C96FDF"/>
    <w:rsid w:val="00CF2EA4"/>
    <w:rsid w:val="00D673CB"/>
    <w:rsid w:val="00D71905"/>
    <w:rsid w:val="00D90504"/>
    <w:rsid w:val="00D90B82"/>
    <w:rsid w:val="00D94AB1"/>
    <w:rsid w:val="00DA47C3"/>
    <w:rsid w:val="00DC11C4"/>
    <w:rsid w:val="00DD179B"/>
    <w:rsid w:val="00E5714A"/>
    <w:rsid w:val="00E7546B"/>
    <w:rsid w:val="00E80202"/>
    <w:rsid w:val="00EB01B3"/>
    <w:rsid w:val="00EE25D2"/>
    <w:rsid w:val="00EF431B"/>
    <w:rsid w:val="00EF615A"/>
    <w:rsid w:val="00F23EE3"/>
    <w:rsid w:val="00F361E7"/>
    <w:rsid w:val="00F468B0"/>
    <w:rsid w:val="00F478B5"/>
    <w:rsid w:val="00F50FB2"/>
    <w:rsid w:val="00F61F19"/>
    <w:rsid w:val="00F646B3"/>
    <w:rsid w:val="00FC1A38"/>
    <w:rsid w:val="2DECD46D"/>
    <w:rsid w:val="37DE4F9D"/>
    <w:rsid w:val="39EB28B5"/>
    <w:rsid w:val="3D772AAC"/>
    <w:rsid w:val="5BA61EA3"/>
    <w:rsid w:val="75FDC263"/>
    <w:rsid w:val="77FFFF1E"/>
    <w:rsid w:val="7BFDEA3E"/>
    <w:rsid w:val="7C7F667A"/>
    <w:rsid w:val="7CEB0708"/>
    <w:rsid w:val="7DB772A4"/>
    <w:rsid w:val="7E5F26D6"/>
    <w:rsid w:val="7F6B1029"/>
    <w:rsid w:val="7FEECB1E"/>
    <w:rsid w:val="8DC7F6FC"/>
    <w:rsid w:val="8DFE5B73"/>
    <w:rsid w:val="BCCA90CC"/>
    <w:rsid w:val="D7F070B8"/>
    <w:rsid w:val="D9AE85C8"/>
    <w:rsid w:val="DE7F2E21"/>
    <w:rsid w:val="E2FF17B3"/>
    <w:rsid w:val="EBBD8807"/>
    <w:rsid w:val="EFFECFE7"/>
    <w:rsid w:val="FD3ED749"/>
    <w:rsid w:val="FDBD9D7A"/>
    <w:rsid w:val="FDFD6ACE"/>
    <w:rsid w:val="FE0C2104"/>
    <w:rsid w:val="FF2B2172"/>
    <w:rsid w:val="FFBB1907"/>
    <w:rsid w:val="FFEF4D8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fr-FR" w:eastAsia="fr-FR" w:bidi="ar-SA"/>
    </w:rPr>
  </w:style>
  <w:style w:type="character" w:default="1" w:styleId="2">
    <w:name w:val="Default Paragraph Font"/>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8"/>
    <w:qFormat/>
    <w:uiPriority w:val="0"/>
    <w:pPr>
      <w:tabs>
        <w:tab w:val="center" w:pos="4536"/>
        <w:tab w:val="right" w:pos="9072"/>
      </w:tabs>
    </w:pPr>
  </w:style>
  <w:style w:type="paragraph" w:styleId="5">
    <w:name w:val="header"/>
    <w:basedOn w:val="1"/>
    <w:link w:val="7"/>
    <w:qFormat/>
    <w:uiPriority w:val="0"/>
    <w:pPr>
      <w:tabs>
        <w:tab w:val="center" w:pos="4536"/>
        <w:tab w:val="right" w:pos="9072"/>
      </w:tabs>
    </w:p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En-tête Car"/>
    <w:basedOn w:val="2"/>
    <w:link w:val="5"/>
    <w:qFormat/>
    <w:uiPriority w:val="0"/>
    <w:rPr>
      <w:rFonts w:ascii="Times New Roman" w:hAnsi="Times New Roman" w:eastAsia="Times New Roman" w:cs="Times New Roman"/>
      <w:sz w:val="24"/>
      <w:szCs w:val="24"/>
      <w:lang w:eastAsia="fr-FR"/>
    </w:rPr>
  </w:style>
  <w:style w:type="character" w:customStyle="1" w:styleId="8">
    <w:name w:val="Pied de page Car"/>
    <w:basedOn w:val="2"/>
    <w:link w:val="4"/>
    <w:qFormat/>
    <w:uiPriority w:val="0"/>
    <w:rPr>
      <w:rFonts w:ascii="Times New Roman" w:hAnsi="Times New Roman" w:eastAsia="Times New Roman" w:cs="Times New Roman"/>
      <w:sz w:val="24"/>
      <w:szCs w:val="24"/>
      <w:lang w:eastAsia="fr-FR"/>
    </w:rPr>
  </w:style>
  <w:style w:type="paragraph" w:customStyle="1" w:styleId="9">
    <w:name w:val="Body"/>
    <w:basedOn w:val="1"/>
    <w:qFormat/>
    <w:uiPriority w:val="99"/>
    <w:pPr>
      <w:spacing w:after="120"/>
      <w:ind w:left="283"/>
    </w:pPr>
    <w:rPr>
      <w:sz w:val="16"/>
      <w:szCs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1136</Words>
  <Characters>6254</Characters>
  <Lines>52</Lines>
  <Paragraphs>14</Paragraphs>
  <TotalTime>2</TotalTime>
  <ScaleCrop>false</ScaleCrop>
  <LinksUpToDate>false</LinksUpToDate>
  <CharactersWithSpaces>7376</CharactersWithSpaces>
  <Application>WPS Office_11.1.0.11720_F1E327BC-269C-435d-A152-05C5408002CA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2022-05-11T15:35:00Z</dcterms:created>
  <dc:creator>Tadjoudine  MEMEM</dc:creator>
  <cp:lastModifiedBy>charles-gamligo</cp:lastModifiedBy>
  <cp:lastPrinted>2021-12-10T15:01:00Z</cp:lastPrinted>
  <dcterms:modified xsi:type="dcterms:W3CDTF">2024-07-18T18:13:37Z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1033-11.1.0.11720</vt:lpwstr>
  </property>
</Properties>
</file>