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b/>
          <w:sz w:val="28"/>
          <w:szCs w:val="28"/>
          <w:bdr w:val="dashDotStroked" w:color="auto" w:sz="24" w:space="0"/>
        </w:rPr>
      </w:pPr>
      <w:r>
        <w:rPr>
          <w:rFonts w:ascii="Times New Roman" w:hAnsi="Times New Roman"/>
          <w:b/>
          <w:sz w:val="28"/>
          <w:szCs w:val="28"/>
          <w:bdr w:val="dashDotStroked" w:color="auto" w:sz="24" w:space="0"/>
        </w:rPr>
        <w:t>CONTRAT DE PRET</w:t>
      </w:r>
    </w:p>
    <w:p>
      <w:pPr>
        <w:spacing w:line="240" w:lineRule="auto"/>
        <w:jc w:val="both"/>
        <w:rPr>
          <w:rFonts w:hint="default" w:ascii="Times New Roman" w:hAnsi="Times New Roman" w:cs="Times New Roman"/>
          <w:b/>
          <w:bCs/>
          <w:highlight w:val="none"/>
          <w:u w:val="single"/>
        </w:rPr>
      </w:pPr>
    </w:p>
    <w:p>
      <w:pPr>
        <w:spacing w:line="240" w:lineRule="auto"/>
        <w:jc w:val="both"/>
        <w:rPr>
          <w:rFonts w:hint="default" w:ascii="Times New Roman" w:hAnsi="Times New Roman" w:cs="Times New Roman"/>
          <w:b/>
          <w:bCs/>
          <w:highlight w:val="none"/>
          <w:u w:val="single"/>
        </w:rPr>
      </w:pPr>
      <w:r>
        <w:rPr>
          <w:rFonts w:hint="default" w:ascii="Times New Roman" w:hAnsi="Times New Roman" w:cs="Times New Roman"/>
          <w:b/>
          <w:bCs/>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Monsieur Mélaine Marcel Séraphin DIGBE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bCs/>
          <w:iCs/>
          <w:color w:val="000000"/>
          <w:sz w:val="24"/>
          <w:szCs w:val="24"/>
          <w:highlight w:val="none"/>
          <w:shd w:val="clear" w:fill="auto"/>
        </w:rPr>
        <w:t>${signatory}</w:t>
      </w:r>
      <w:r>
        <w:rPr>
          <w:rFonts w:hint="default" w:ascii="Times New Roman" w:hAnsi="Times New Roman" w:cs="Times New Roman"/>
          <w:bCs/>
          <w:iCs/>
          <w:color w:val="000000"/>
          <w:sz w:val="24"/>
          <w:szCs w:val="24"/>
          <w:highlight w:val="none"/>
        </w:rPr>
        <w:t xml:space="preserve">, et </w:t>
      </w:r>
      <w:r>
        <w:rPr>
          <w:rFonts w:hint="default" w:ascii="Times New Roman" w:hAnsi="Times New Roman" w:cs="Times New Roman"/>
          <w:b/>
          <w:iCs/>
          <w:color w:val="000000"/>
          <w:sz w:val="24"/>
          <w:szCs w:val="24"/>
          <w:highlight w:val="none"/>
        </w:rPr>
        <w:t>Madame Christèle F. R. FEBON</w:t>
      </w:r>
      <w:r>
        <w:rPr>
          <w:rFonts w:hint="default" w:ascii="Times New Roman" w:hAnsi="Times New Roman" w:cs="Times New Roman"/>
          <w:bCs/>
          <w:iCs/>
          <w:color w:val="000000"/>
          <w:sz w:val="24"/>
          <w:szCs w:val="24"/>
          <w:highlight w:val="none"/>
        </w:rPr>
        <w:t xml:space="preserve"> épouse JOHNSON, Directrice d’exploitation, vertu d’un acte reçu par </w:t>
      </w:r>
      <w:r>
        <w:rPr>
          <w:rFonts w:hint="default" w:ascii="Times New Roman" w:hAnsi="Times New Roman" w:cs="Times New Roman"/>
          <w:bCs/>
          <w:iCs/>
          <w:color w:val="111111"/>
          <w:sz w:val="24"/>
          <w:szCs w:val="24"/>
          <w:highlight w:val="none"/>
        </w:rPr>
        <w:t>Me Afiavi S. do REGO-d’Almeida, Notaire à Lomé, en date du 19 Août 2022</w:t>
      </w:r>
    </w:p>
    <w:p>
      <w:pPr>
        <w:ind w:right="-141"/>
        <w:jc w:val="right"/>
        <w:rPr>
          <w:rFonts w:hint="default" w:ascii="Times New Roman" w:hAnsi="Times New Roman" w:cs="Times New Roman"/>
          <w:i/>
          <w:iCs/>
          <w:highlight w:val="none"/>
        </w:rPr>
      </w:pPr>
      <w:r>
        <w:rPr>
          <w:rFonts w:hint="default" w:ascii="Times New Roman" w:hAnsi="Times New Roman" w:cs="Times New Roman"/>
          <w:highlight w:val="none"/>
        </w:rPr>
        <w:t xml:space="preserve">Ci-après dénommée « </w:t>
      </w:r>
      <w:r>
        <w:rPr>
          <w:rFonts w:hint="default" w:ascii="Times New Roman" w:hAnsi="Times New Roman" w:cs="Times New Roman"/>
          <w:b/>
          <w:bCs/>
          <w:highlight w:val="none"/>
        </w:rPr>
        <w:t xml:space="preserve">COFINA TOGO SA », </w:t>
      </w:r>
      <w:r>
        <w:rPr>
          <w:rFonts w:hint="default" w:ascii="Times New Roman" w:hAnsi="Times New Roman" w:cs="Times New Roman"/>
          <w:b/>
          <w:bCs/>
          <w:i/>
          <w:iCs/>
          <w:highlight w:val="none"/>
        </w:rPr>
        <w:t>d’une part</w:t>
      </w:r>
      <w:r>
        <w:rPr>
          <w:rFonts w:hint="default" w:ascii="Times New Roman" w:hAnsi="Times New Roman" w:cs="Times New Roman"/>
          <w:i/>
          <w:iCs/>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highlight w:val="none"/>
        </w:rPr>
      </w:pPr>
      <w:r>
        <w:rPr>
          <w:rFonts w:hint="default" w:ascii="Times New Roman" w:hAnsi="Times New Roman" w:cs="Times New Roman"/>
          <w:highlight w:val="none"/>
        </w:rPr>
        <w:t>Ci-après désigné(e) « l’Emprunteur »</w:t>
      </w:r>
    </w:p>
    <w:p>
      <w:pPr>
        <w:rPr>
          <w:rFonts w:hint="default" w:ascii="Times New Roman" w:hAnsi="Times New Roman" w:cs="Times New Roman"/>
          <w:highlight w:val="none"/>
          <w:u w:val="single"/>
        </w:rPr>
      </w:pPr>
      <w:r>
        <w:rPr>
          <w:rFonts w:hint="default" w:ascii="Times New Roman" w:hAnsi="Times New Roman" w:cs="Times New Roman"/>
          <w:highlight w:val="none"/>
          <w:u w:val="single"/>
        </w:rPr>
        <w:br w:type="page"/>
      </w:r>
    </w:p>
    <w:p>
      <w:pPr>
        <w:spacing w:line="240" w:lineRule="auto"/>
        <w:jc w:val="both"/>
        <w:rPr>
          <w:rFonts w:hint="default" w:ascii="Times New Roman" w:hAnsi="Times New Roman" w:cs="Times New Roman"/>
          <w:highlight w:val="none"/>
        </w:rPr>
      </w:pPr>
      <w:r>
        <w:rPr>
          <w:rFonts w:hint="default" w:ascii="Times New Roman" w:hAnsi="Times New Roman" w:cs="Times New Roman"/>
          <w:highlight w:val="none"/>
          <w:u w:val="single"/>
        </w:rPr>
        <w:t>IL A ETE CONVENU ET ARRETE CE QUI SUIT</w:t>
      </w:r>
      <w:r>
        <w:rPr>
          <w:rFonts w:hint="default" w:ascii="Times New Roman" w:hAnsi="Times New Roman" w:cs="Times New Roman"/>
          <w:highlight w:val="none"/>
        </w:rPr>
        <w:t xml:space="preserve"> :</w:t>
      </w:r>
    </w:p>
    <w:p>
      <w:pPr>
        <w:spacing w:line="240" w:lineRule="auto"/>
        <w:jc w:val="both"/>
        <w:rPr>
          <w:rFonts w:hint="default" w:ascii="Times New Roman" w:hAnsi="Times New Roman" w:cs="Times New Roman"/>
          <w:highlight w:val="none"/>
        </w:rPr>
      </w:pPr>
      <w:r>
        <w:rPr>
          <w:rFonts w:hint="default" w:ascii="Times New Roman" w:hAnsi="Times New Roman" w:cs="Times New Roman"/>
          <w:b/>
          <w:highlight w:val="none"/>
        </w:rPr>
        <w:t>Article 1</w:t>
      </w:r>
      <w:r>
        <w:rPr>
          <w:rFonts w:hint="default" w:ascii="Times New Roman" w:hAnsi="Times New Roman" w:cs="Times New Roman"/>
          <w:highlight w:val="none"/>
        </w:rPr>
        <w:t> :</w:t>
      </w:r>
      <w:r>
        <w:rPr>
          <w:rFonts w:hint="default" w:ascii="Times New Roman" w:hAnsi="Times New Roman" w:cs="Times New Roman"/>
          <w:b/>
          <w:bCs/>
          <w:highlight w:val="none"/>
        </w:rPr>
        <w:t xml:space="preserve"> </w:t>
      </w:r>
      <w:r>
        <w:rPr>
          <w:rFonts w:hint="default" w:ascii="Times New Roman" w:hAnsi="Times New Roman" w:cs="Times New Roman"/>
          <w:b/>
          <w:bCs/>
          <w:highlight w:val="none"/>
          <w:u w:val="single"/>
        </w:rPr>
        <w:t>Objet</w:t>
      </w:r>
    </w:p>
    <w:p>
      <w:pPr>
        <w:spacing w:line="240" w:lineRule="auto"/>
        <w:jc w:val="both"/>
        <w:rPr>
          <w:rFonts w:hint="default" w:ascii="Times New Roman" w:hAnsi="Times New Roman" w:cs="Times New Roman"/>
          <w:highlight w:val="none"/>
        </w:rPr>
      </w:pPr>
      <w:r>
        <w:rPr>
          <w:rFonts w:hint="default" w:ascii="Times New Roman" w:hAnsi="Times New Roman" w:cs="Times New Roman"/>
          <w:highlight w:val="none"/>
        </w:rPr>
        <w:t xml:space="preserve">Sous réserve de la réalisation des conditions préalables visées à I'article 8 ci-après, l’institution consent à l'Emprunteur, qui accepte et s'engage à en exécuter les termes, conditions et modalités telles que définies ci-après, </w:t>
      </w:r>
      <w:r>
        <w:rPr>
          <w:rFonts w:hint="default" w:ascii="Times New Roman" w:hAnsi="Times New Roman" w:cs="Times New Roman"/>
          <w:highlight w:val="none"/>
          <w:shd w:val="clear" w:fill="auto"/>
        </w:rPr>
        <w:t>${verbal_trial.type_of_credit.name}</w:t>
      </w:r>
      <w:r>
        <w:rPr>
          <w:rFonts w:hint="default" w:ascii="Times New Roman" w:hAnsi="Times New Roman" w:cs="Times New Roman"/>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t>${line_risk_premium_percentage}</w:t>
      </w:r>
      <w:r>
        <w:rPr>
          <w:rFonts w:hint="default" w:ascii="Times New Roman" w:hAnsi="Times New Roman" w:cs="Times New Roman"/>
          <w:b/>
          <w:sz w:val="24"/>
          <w:szCs w:val="24"/>
          <w:lang w:val="en-US"/>
        </w:rPr>
        <w:tab/>
        <w:t/>
      </w:r>
      <w:r>
        <w:rPr>
          <w:rFonts w:hint="default" w:ascii="Times New Roman" w:hAnsi="Times New Roman" w:cs="Times New Roman"/>
          <w:b/>
          <w:sz w:val="24"/>
          <w:szCs w:val="24"/>
          <w:lang w:val="en-US"/>
        </w:rPr>
        <w:tab/>
        <w:t>: ${line_risk_premium_percentage_value}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t/>
      </w:r>
      <w:r>
        <w:rPr>
          <w:rFonts w:hint="default" w:ascii="Times New Roman" w:hAnsi="Times New Roman" w:cs="Times New Roman"/>
          <w:b/>
          <w:sz w:val="24"/>
          <w:szCs w:val="24"/>
          <w:shd w:val="clear" w:fill="auto"/>
          <w:lang w:val="en-US"/>
        </w:rPr>
        <w:tab/>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Article 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Article 3</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5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 xml:space="preserve">5.1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intérêts seront payables par l'Emprunteur mensuellement sur le capital échu et seront compris dans les remboursements périodiques mentionnés à l'article 6 ci-dessous.</w:t>
      </w:r>
    </w:p>
    <w:p>
      <w:pPr>
        <w:spacing w:line="240" w:lineRule="auto"/>
        <w:jc w:val="both"/>
        <w:rPr>
          <w:rFonts w:hint="default" w:ascii="Times New Roman" w:hAnsi="Times New Roman" w:cs="Times New Roman"/>
          <w:b/>
          <w:sz w:val="24"/>
          <w:szCs w:val="24"/>
          <w:highlight w:val="none"/>
          <w:u w:val="single"/>
        </w:rPr>
      </w:pP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 xml:space="preserve">5.2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 xml:space="preserve">Article 6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6.1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5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Article 7</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7.1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7.2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7.3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Article 9 : </w:t>
      </w:r>
      <w:r>
        <w:rPr>
          <w:rFonts w:hint="default" w:ascii="Times New Roman" w:hAnsi="Times New Roman" w:cs="Times New Roman"/>
          <w:b/>
          <w:bCs/>
          <w:sz w:val="24"/>
          <w:szCs w:val="24"/>
          <w:highlight w:val="none"/>
          <w:u w:val="single"/>
        </w:rPr>
        <w:t>Externalisation du recouvrement</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L'emprunteur autorise L’institution à communiquer à ce prestataire toutes les informations nécessaires à la gestion du recouvrement, y compris ses coordonnées et les détails du crédit, conformément aux règles de confidentialité et protection des données personnelles. </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10</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Article 12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3</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4</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4</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4</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4</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4</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15</w:t>
      </w:r>
      <w:r>
        <w:rPr>
          <w:rFonts w:hint="default" w:ascii="Times New Roman" w:hAnsi="Times New Roman" w:cs="Times New Roman"/>
          <w:sz w:val="24"/>
          <w:szCs w:val="24"/>
          <w:highlight w:val="none"/>
        </w:rPr>
        <w:t>.1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ascii="Arial" w:hAnsi="Arial" w:cs="Arial"/>
          <w:b/>
          <w:bCs/>
          <w:iCs/>
          <w:color w:val="000000"/>
          <w:sz w:val="24"/>
          <w:szCs w:val="24"/>
          <w:lang w:val="it-IT"/>
        </w:rPr>
      </w:pPr>
      <w:r>
        <w:rPr>
          <w:rFonts w:ascii="Arial" w:hAnsi="Arial" w:cs="Arial"/>
          <w:b/>
          <w:bCs/>
          <w:iCs/>
          <w:sz w:val="24"/>
          <w:szCs w:val="24"/>
          <w:lang w:val="it-IT"/>
        </w:rPr>
        <w:t xml:space="preserve">M. Koffi Djramedo GAMADO                           </w:t>
      </w:r>
      <w:r>
        <w:rPr>
          <w:rFonts w:ascii="Arial" w:hAnsi="Arial" w:cs="Arial"/>
          <w:b/>
          <w:bCs/>
          <w:iCs/>
          <w:color w:val="000000"/>
          <w:sz w:val="24"/>
          <w:szCs w:val="24"/>
          <w:lang w:val="it-IT"/>
        </w:rPr>
        <w:t xml:space="preserve">Mme. Ameh D. MESSANGAN </w:t>
      </w:r>
    </w:p>
    <w:p>
      <w:pPr>
        <w:spacing w:after="0"/>
        <w:rPr>
          <w:rFonts w:ascii="Arial" w:hAnsi="Arial" w:cs="Arial"/>
          <w:b/>
          <w:bCs/>
          <w:iCs/>
          <w:color w:val="000000"/>
          <w:sz w:val="24"/>
          <w:szCs w:val="24"/>
        </w:rPr>
      </w:pPr>
      <w:r>
        <w:rPr>
          <w:rFonts w:ascii="Arial" w:hAnsi="Arial" w:cs="Arial"/>
          <w:b/>
          <w:bCs/>
          <w:iCs/>
          <w:color w:val="000000"/>
          <w:sz w:val="24"/>
          <w:szCs w:val="24"/>
          <w:lang w:val="it-IT"/>
        </w:rPr>
        <w:t xml:space="preserve">                                                                                   </w:t>
      </w:r>
      <w:r>
        <w:rPr>
          <w:rFonts w:ascii="Arial" w:hAnsi="Arial" w:cs="Arial"/>
          <w:iCs/>
          <w:color w:val="000000"/>
          <w:sz w:val="24"/>
          <w:szCs w:val="24"/>
        </w:rPr>
        <w:t>épse</w:t>
      </w:r>
      <w:r>
        <w:rPr>
          <w:rFonts w:ascii="Arial" w:hAnsi="Arial" w:cs="Arial"/>
          <w:b/>
          <w:bCs/>
          <w:iCs/>
          <w:color w:val="000000"/>
          <w:sz w:val="24"/>
          <w:szCs w:val="24"/>
        </w:rPr>
        <w:t xml:space="preserve"> AMEDEMEGNAH </w:t>
      </w:r>
    </w:p>
    <w:p>
      <w:pPr>
        <w:rPr>
          <w:rFonts w:ascii="Arial" w:hAnsi="Arial" w:cs="Arial"/>
          <w:bCs/>
          <w:iCs/>
          <w:sz w:val="24"/>
          <w:szCs w:val="24"/>
        </w:rPr>
      </w:pPr>
      <w:r>
        <w:rPr>
          <w:rFonts w:ascii="Arial" w:hAnsi="Arial" w:cs="Arial"/>
          <w:bCs/>
          <w:iCs/>
          <w:sz w:val="24"/>
          <w:szCs w:val="24"/>
        </w:rPr>
        <w:t>Head Crédit                                                           Responsable juridique</w:t>
      </w:r>
    </w:p>
    <w:p>
      <w:pPr>
        <w:rPr>
          <w:rFonts w:hint="default" w:ascii="Times New Roman" w:hAnsi="Times New Roman" w:cs="Times New Roman"/>
          <w:b/>
          <w:sz w:val="24"/>
          <w:szCs w:val="24"/>
          <w:highlight w:val="none"/>
        </w:rPr>
      </w:pPr>
      <w:bookmarkStart w:id="10" w:name="_GoBack"/>
      <w:bookmarkEnd w:id="10"/>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panose1 w:val="020B0604030504040204"/>
    <w:charset w:val="01"/>
    <w:family w:val="roman"/>
    <w:pitch w:val="default"/>
    <w:sig w:usb0="800022EF" w:usb1="C000205A" w:usb2="00000008" w:usb3="00000000" w:csb0="20000057" w:csb1="0008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47BB914"/>
    <w:rsid w:val="1973F31C"/>
    <w:rsid w:val="1FB2C1BD"/>
    <w:rsid w:val="1FDB046A"/>
    <w:rsid w:val="275380D8"/>
    <w:rsid w:val="30DD53FD"/>
    <w:rsid w:val="39FA04C4"/>
    <w:rsid w:val="3F33D107"/>
    <w:rsid w:val="3FEE4DEC"/>
    <w:rsid w:val="44647091"/>
    <w:rsid w:val="4DE5DE0B"/>
    <w:rsid w:val="53DF964A"/>
    <w:rsid w:val="55EE49DA"/>
    <w:rsid w:val="5DFF336E"/>
    <w:rsid w:val="5F4B5793"/>
    <w:rsid w:val="5F79FBB8"/>
    <w:rsid w:val="613C5CEA"/>
    <w:rsid w:val="63F7535E"/>
    <w:rsid w:val="6D3F0546"/>
    <w:rsid w:val="6E7C2AEA"/>
    <w:rsid w:val="6F7B2517"/>
    <w:rsid w:val="6F7EA89A"/>
    <w:rsid w:val="777F8C52"/>
    <w:rsid w:val="7B6F5C1C"/>
    <w:rsid w:val="7B7FAD11"/>
    <w:rsid w:val="7DF7DFB5"/>
    <w:rsid w:val="7DFD9FFC"/>
    <w:rsid w:val="7EEF3748"/>
    <w:rsid w:val="7EFFB152"/>
    <w:rsid w:val="7FD9B923"/>
    <w:rsid w:val="7FFB976A"/>
    <w:rsid w:val="9BFE10F3"/>
    <w:rsid w:val="9DDDEE40"/>
    <w:rsid w:val="9EFB1DBC"/>
    <w:rsid w:val="9FEF47E2"/>
    <w:rsid w:val="A56FBF80"/>
    <w:rsid w:val="A7FF5956"/>
    <w:rsid w:val="ABF7465E"/>
    <w:rsid w:val="AE7BF738"/>
    <w:rsid w:val="AEF3FEE5"/>
    <w:rsid w:val="AFFF9780"/>
    <w:rsid w:val="BA3B578F"/>
    <w:rsid w:val="BD766961"/>
    <w:rsid w:val="BFDDD6C2"/>
    <w:rsid w:val="CF9FC517"/>
    <w:rsid w:val="CFED15A6"/>
    <w:rsid w:val="D5FB14F4"/>
    <w:rsid w:val="DDEB25EA"/>
    <w:rsid w:val="E3B9D2AE"/>
    <w:rsid w:val="E5AB6668"/>
    <w:rsid w:val="E7AF1E2A"/>
    <w:rsid w:val="E7EAC5F3"/>
    <w:rsid w:val="EB795490"/>
    <w:rsid w:val="EBBF6C5A"/>
    <w:rsid w:val="EBFF8C0D"/>
    <w:rsid w:val="ED2F72E3"/>
    <w:rsid w:val="EFFEA964"/>
    <w:rsid w:val="F3EFDE8F"/>
    <w:rsid w:val="F7EF881A"/>
    <w:rsid w:val="F7F737E9"/>
    <w:rsid w:val="F7FB4CAC"/>
    <w:rsid w:val="FA55D77A"/>
    <w:rsid w:val="FAAF53E5"/>
    <w:rsid w:val="FBAF4F69"/>
    <w:rsid w:val="FBB3A364"/>
    <w:rsid w:val="FBEF99BE"/>
    <w:rsid w:val="FCBDEFAE"/>
    <w:rsid w:val="FDBA9694"/>
    <w:rsid w:val="FDBFB375"/>
    <w:rsid w:val="FDEE88C8"/>
    <w:rsid w:val="FEF75492"/>
    <w:rsid w:val="FF4DA749"/>
    <w:rsid w:val="FF643FE4"/>
    <w:rsid w:val="FFC355DD"/>
    <w:rsid w:val="FFEF63D1"/>
    <w:rsid w:val="FFF76532"/>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2024-11-18T17:38:19Z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