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spacing w:line="240" w:lineRule="auto"/>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2"/>
          <w:szCs w:val="22"/>
          <w:highlight w:val="none"/>
        </w:rPr>
      </w:pPr>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t>${line_risk_premium_percentage}</w:t>
      </w:r>
      <w:r>
        <w:rPr>
          <w:rFonts w:hint="default" w:ascii="Times New Roman" w:hAnsi="Times New Roman" w:cs="Times New Roman"/>
          <w:b/>
          <w:sz w:val="24"/>
          <w:szCs w:val="24"/>
          <w:lang w:val="en-US"/>
        </w:rPr>
        <w:tab/>
        <w:t/>
      </w:r>
      <w:r>
        <w:rPr>
          <w:rFonts w:hint="default" w:ascii="Times New Roman" w:hAnsi="Times New Roman" w:cs="Times New Roman"/>
          <w:b/>
          <w:sz w:val="24"/>
          <w:szCs w:val="24"/>
          <w:lang w:val="en-US"/>
        </w:rPr>
        <w:tab/>
        <w:t>${line_risk_premium_percentage_value}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t/>
      </w:r>
      <w:r>
        <w:rPr>
          <w:rFonts w:hint="default" w:ascii="Times New Roman" w:hAnsi="Times New Roman" w:cs="Times New Roman"/>
          <w:b/>
          <w:sz w:val="24"/>
          <w:szCs w:val="24"/>
          <w:shd w:val="clear" w:fill="auto"/>
          <w:lang w:val="en-US"/>
        </w:rPr>
        <w:tab/>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${due_amount} (${due_amount.fr})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0,3% de l'échéance due plus un montant de 1000F forfaitaire. Il sera appliqué dès le 1er jour de retard, étant considéré que dès le 1er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7.3 Les intérêts, et ce compris les intérêts de retard, porteront eux-mêmes intérêt au taux défini au présent article s'ils sont dus pour une année entière.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la sûreté et garantie du remboursement du présent prêt, soit la somme</w:t>
      </w:r>
      <w:r>
        <w:rPr>
          <w:rFonts w:hint="default" w:ascii="Times New Roman" w:hAnsi="Times New Roman" w:cs="Times New Roman"/>
          <w:b/>
          <w:sz w:val="22"/>
          <w:szCs w:val="22"/>
          <w:highlight w:val="none"/>
          <w:shd w:val="clear" w:fill="auto"/>
        </w:rPr>
        <w:t xml:space="preserve"> Soit ${total_to_pay.fr} F CFA </w:t>
      </w:r>
      <w:r>
        <w:rPr>
          <w:rFonts w:hint="default" w:ascii="Times New Roman" w:hAnsi="Times New Roman" w:cs="Times New Roman"/>
          <w:b/>
          <w:sz w:val="22"/>
          <w:szCs w:val="22"/>
          <w:highlight w:val="none"/>
          <w:shd w:val="clear" w:fill="auto"/>
          <w:lang w:val="en-US"/>
        </w:rPr>
        <w:t>(</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widowControl/>
        <w:numPr>
          <w:numId w:val="0"/>
        </w:numPr>
        <w:shd w:val="clear"/>
        <w:tabs>
          <w:tab w:val="left" w:pos="720"/>
        </w:tabs>
        <w:suppressAutoHyphens/>
        <w:bidi w:val="0"/>
        <w:spacing w:before="0" w:after="0" w:line="240" w:lineRule="auto"/>
        <w:jc w:val="both"/>
        <w:rPr>
          <w:rFonts w:hint="default" w:ascii="Times New Roman" w:hAnsi="Times New Roman" w:cs="Times New Roman"/>
          <w:sz w:val="22"/>
          <w:szCs w:val="22"/>
          <w:highlight w:val="none"/>
        </w:rPr>
      </w:pPr>
    </w:p>
    <w:p>
      <w:pPr>
        <w:widowControl/>
        <w:numPr>
          <w:numId w:val="0"/>
        </w:numPr>
        <w:shd w:val="clear"/>
        <w:tabs>
          <w:tab w:val="left" w:pos="720"/>
        </w:tabs>
        <w:suppressAutoHyphens/>
        <w:bidi w:val="0"/>
        <w:spacing w:before="0" w:after="0" w:line="240" w:lineRule="auto"/>
        <w:jc w:val="both"/>
        <w:rPr>
          <w:rFonts w:hint="default" w:ascii="Times New Roman" w:hAnsi="Times New Roman" w:cs="Times New Roman"/>
          <w:b/>
          <w:bCs/>
          <w:sz w:val="22"/>
          <w:szCs w:val="22"/>
          <w:highlight w:val="none"/>
        </w:rPr>
      </w:pPr>
      <w:r>
        <w:rPr>
          <w:rFonts w:hint="default" w:ascii="Times New Roman" w:hAnsi="Times New Roman" w:cs="Times New Roman"/>
          <w:b/>
          <w:bCs/>
          <w:sz w:val="22"/>
          <w:szCs w:val="22"/>
          <w:highlight w:val="none"/>
        </w:rPr>
        <w:t xml:space="preserve">Article 9 : </w:t>
      </w:r>
      <w:r>
        <w:rPr>
          <w:rFonts w:hint="default" w:ascii="Times New Roman" w:hAnsi="Times New Roman" w:cs="Times New Roman"/>
          <w:b/>
          <w:bCs/>
          <w:sz w:val="22"/>
          <w:szCs w:val="22"/>
          <w:highlight w:val="none"/>
          <w:u w:val="single"/>
        </w:rPr>
        <w:t>Externalisation du recouvrement</w:t>
      </w:r>
      <w:r>
        <w:rPr>
          <w:rFonts w:hint="default" w:ascii="Times New Roman" w:hAnsi="Times New Roman" w:cs="Times New Roman"/>
          <w:b/>
          <w:bCs/>
          <w:sz w:val="22"/>
          <w:szCs w:val="22"/>
          <w:highlight w:val="none"/>
        </w:rPr>
        <w:t xml:space="preserve"> </w:t>
      </w:r>
    </w:p>
    <w:p>
      <w:pPr>
        <w:widowControl/>
        <w:numPr>
          <w:numId w:val="0"/>
        </w:numPr>
        <w:shd w:val="clear"/>
        <w:tabs>
          <w:tab w:val="left" w:pos="720"/>
        </w:tabs>
        <w:suppressAutoHyphens/>
        <w:bidi w:val="0"/>
        <w:spacing w:before="0" w:after="0" w:line="240" w:lineRule="auto"/>
        <w:jc w:val="both"/>
        <w:rPr>
          <w:rFonts w:hint="default" w:ascii="Times New Roman" w:hAnsi="Times New Roman" w:cs="Times New Roman"/>
          <w:sz w:val="22"/>
          <w:szCs w:val="22"/>
          <w:highlight w:val="none"/>
        </w:rPr>
      </w:pPr>
    </w:p>
    <w:p>
      <w:pPr>
        <w:widowControl/>
        <w:numPr>
          <w:numId w:val="0"/>
        </w:numPr>
        <w:shd w:val="clear"/>
        <w:tabs>
          <w:tab w:val="left" w:pos="720"/>
        </w:tabs>
        <w:suppressAutoHyphens/>
        <w:bidi w:val="0"/>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widowControl/>
        <w:numPr>
          <w:numId w:val="0"/>
        </w:numPr>
        <w:shd w:val="clear"/>
        <w:tabs>
          <w:tab w:val="left" w:pos="720"/>
        </w:tabs>
        <w:suppressAutoHyphens/>
        <w:bidi w:val="0"/>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Article 12 : </w:t>
      </w:r>
      <w:r>
        <w:rPr>
          <w:rFonts w:hint="default" w:ascii="Times New Roman" w:hAnsi="Times New Roman" w:cs="Times New Roman"/>
          <w:b/>
          <w:bCs/>
          <w:sz w:val="22"/>
          <w:szCs w:val="22"/>
          <w:highlight w:val="none"/>
          <w:u w:val="single"/>
        </w:rPr>
        <w:t>Report d’échéance</w:t>
      </w:r>
      <w:r>
        <w:rPr>
          <w:rFonts w:hint="default" w:ascii="Times New Roman" w:hAnsi="Times New Roman" w:cs="Times New Roman"/>
          <w:b/>
          <w:bCs/>
          <w:sz w:val="22"/>
          <w:szCs w:val="22"/>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3</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4</w:t>
      </w:r>
      <w:r>
        <w:rPr>
          <w:rFonts w:hint="default" w:ascii="Times New Roman" w:hAnsi="Times New Roman" w:cs="Times New Roman"/>
          <w:sz w:val="22"/>
          <w:szCs w:val="22"/>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4</w:t>
      </w:r>
      <w:r>
        <w:rPr>
          <w:rFonts w:hint="default" w:ascii="Times New Roman" w:hAnsi="Times New Roman" w:cs="Times New Roman"/>
          <w:sz w:val="22"/>
          <w:szCs w:val="22"/>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4</w:t>
      </w:r>
      <w:r>
        <w:rPr>
          <w:rFonts w:hint="default" w:ascii="Times New Roman" w:hAnsi="Times New Roman" w:cs="Times New Roman"/>
          <w:sz w:val="22"/>
          <w:szCs w:val="22"/>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4</w:t>
      </w:r>
      <w:r>
        <w:rPr>
          <w:rFonts w:hint="default" w:ascii="Times New Roman" w:hAnsi="Times New Roman" w:cs="Times New Roman"/>
          <w:sz w:val="22"/>
          <w:szCs w:val="22"/>
          <w:highlight w:val="none"/>
        </w:rPr>
        <w:t>.4 Au cas où l’une quelconque des dispositions de la Convention deviendrait ou serait déclarée nulle, int</w:t>
      </w:r>
      <w:bookmarkStart w:id="10" w:name="_GoBack"/>
      <w:bookmarkEnd w:id="10"/>
      <w:r>
        <w:rPr>
          <w:rFonts w:hint="default" w:ascii="Times New Roman" w:hAnsi="Times New Roman" w:cs="Times New Roman"/>
          <w:sz w:val="22"/>
          <w:szCs w:val="22"/>
          <w:highlight w:val="none"/>
        </w:rPr>
        <w:t xml:space="preserve">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4</w:t>
      </w:r>
      <w:r>
        <w:rPr>
          <w:rFonts w:hint="default" w:ascii="Times New Roman" w:hAnsi="Times New Roman" w:cs="Times New Roman"/>
          <w:sz w:val="22"/>
          <w:szCs w:val="22"/>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5</w:t>
      </w:r>
      <w:r>
        <w:rPr>
          <w:rFonts w:hint="default" w:ascii="Times New Roman" w:hAnsi="Times New Roman" w:cs="Times New Roman"/>
          <w:sz w:val="22"/>
          <w:szCs w:val="22"/>
          <w:highlight w:val="none"/>
        </w:rPr>
        <w:t>.1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w:t>
      </w:r>
      <w:r>
        <w:rPr>
          <w:rFonts w:hint="default" w:ascii="Times New Roman" w:hAnsi="Times New Roman" w:cs="Times New Roman"/>
          <w:sz w:val="22"/>
          <w:szCs w:val="22"/>
          <w:highlight w:val="none"/>
          <w:lang w:val="en-US"/>
        </w:rPr>
        <w:t>5</w:t>
      </w:r>
      <w:r>
        <w:rPr>
          <w:rFonts w:hint="default" w:ascii="Times New Roman" w:hAnsi="Times New Roman" w:cs="Times New Roman"/>
          <w:sz w:val="22"/>
          <w:szCs w:val="22"/>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spacing w:line="240" w:lineRule="auto"/>
        <w:jc w:val="center"/>
        <w:rPr>
          <w:rFonts w:hint="default" w:ascii="Times New Roman" w:hAnsi="Times New Roman" w:cs="Times New Roman"/>
          <w:b/>
          <w:sz w:val="22"/>
          <w:szCs w:val="22"/>
          <w:highlight w:val="none"/>
        </w:rPr>
      </w:pP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line="240" w:lineRule="auto"/>
        <w:jc w:val="center"/>
        <w:rPr>
          <w:rFonts w:hint="default" w:ascii="Times New Roman" w:hAnsi="Times New Roman" w:cs="Times New Roman"/>
          <w:b/>
          <w:sz w:val="24"/>
          <w:szCs w:val="24"/>
        </w:rPr>
      </w:pPr>
    </w:p>
    <w:p>
      <w:pPr>
        <w:spacing w:line="240" w:lineRule="auto"/>
        <w:rPr>
          <w:rFonts w:hint="default" w:ascii="Times New Roman" w:hAnsi="Times New Roman" w:cs="Times New Roman"/>
          <w:b/>
          <w:sz w:val="24"/>
          <w:szCs w:val="24"/>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t/>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2"/>
          <w:szCs w:val="22"/>
          <w:highlight w:val="none"/>
        </w:rPr>
      </w:pPr>
    </w:p>
    <w:p>
      <w:pPr>
        <w:shd w:val="clear"/>
        <w:spacing w:line="240" w:lineRule="auto"/>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spacing w:line="240" w:lineRule="auto"/>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spacing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spacing w:line="240" w:lineRule="auto"/>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spacing w:line="240" w:lineRule="auto"/>
        <w:jc w:val="center"/>
        <w:rPr>
          <w:rFonts w:hint="default" w:ascii="Times New Roman" w:hAnsi="Times New Roman" w:cs="Times New Roman"/>
          <w:b/>
          <w:sz w:val="22"/>
          <w:szCs w:val="22"/>
          <w:highlight w:val="none"/>
        </w:rPr>
      </w:pPr>
    </w:p>
    <w:p>
      <w:pPr>
        <w:shd w:val="clear"/>
        <w:spacing w:line="240" w:lineRule="auto"/>
        <w:jc w:val="center"/>
        <w:rPr>
          <w:rFonts w:hint="default" w:ascii="Times New Roman" w:hAnsi="Times New Roman" w:cs="Times New Roman"/>
          <w:b/>
          <w:bCs w:val="0"/>
          <w:sz w:val="22"/>
          <w:szCs w:val="22"/>
          <w:highlight w:val="none"/>
        </w:rPr>
      </w:pPr>
    </w:p>
    <w:p>
      <w:pPr>
        <w:shd w:val="clear"/>
        <w:spacing w:before="0" w:after="200" w:line="240" w:lineRule="auto"/>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30DD53FD"/>
    <w:rsid w:val="3ADD65B9"/>
    <w:rsid w:val="3BBB595C"/>
    <w:rsid w:val="3E6F7610"/>
    <w:rsid w:val="3FEE4DEC"/>
    <w:rsid w:val="47FD08C0"/>
    <w:rsid w:val="4F3F4729"/>
    <w:rsid w:val="4FEEEDF7"/>
    <w:rsid w:val="51F64081"/>
    <w:rsid w:val="53DF964A"/>
    <w:rsid w:val="55EFB2CF"/>
    <w:rsid w:val="57FF3174"/>
    <w:rsid w:val="5A73A617"/>
    <w:rsid w:val="5BFFDE66"/>
    <w:rsid w:val="5C87D7F5"/>
    <w:rsid w:val="5D3BE83C"/>
    <w:rsid w:val="5E4F3233"/>
    <w:rsid w:val="5F4B5793"/>
    <w:rsid w:val="613C5CEA"/>
    <w:rsid w:val="63F7535E"/>
    <w:rsid w:val="67FE9A6D"/>
    <w:rsid w:val="6BFA45E6"/>
    <w:rsid w:val="6E7C2AEA"/>
    <w:rsid w:val="6ED6DCBE"/>
    <w:rsid w:val="6FCA27F5"/>
    <w:rsid w:val="6FFF13F1"/>
    <w:rsid w:val="727F7ED5"/>
    <w:rsid w:val="72F65C42"/>
    <w:rsid w:val="76FF4360"/>
    <w:rsid w:val="77CBB64D"/>
    <w:rsid w:val="7ADD242E"/>
    <w:rsid w:val="7B7A5222"/>
    <w:rsid w:val="7B7FAD11"/>
    <w:rsid w:val="7BFFE25A"/>
    <w:rsid w:val="7CF90BB8"/>
    <w:rsid w:val="7D92DE82"/>
    <w:rsid w:val="7E5F7983"/>
    <w:rsid w:val="7EFFB152"/>
    <w:rsid w:val="7F3F8EB3"/>
    <w:rsid w:val="7F7F3A55"/>
    <w:rsid w:val="7F9F29B1"/>
    <w:rsid w:val="7FBF57B1"/>
    <w:rsid w:val="7FFB976A"/>
    <w:rsid w:val="7FFD4CA0"/>
    <w:rsid w:val="7FFEDB71"/>
    <w:rsid w:val="9BFE10F3"/>
    <w:rsid w:val="9EFB1DBC"/>
    <w:rsid w:val="A7FEE587"/>
    <w:rsid w:val="AE7BF738"/>
    <w:rsid w:val="AEF3FEE5"/>
    <w:rsid w:val="AFAB385F"/>
    <w:rsid w:val="B7E7A5E8"/>
    <w:rsid w:val="BB6E49FC"/>
    <w:rsid w:val="BFAF390D"/>
    <w:rsid w:val="BFCD41FC"/>
    <w:rsid w:val="BFDDD6C2"/>
    <w:rsid w:val="BFE394D2"/>
    <w:rsid w:val="CF9FC517"/>
    <w:rsid w:val="CFED15A6"/>
    <w:rsid w:val="D7372429"/>
    <w:rsid w:val="DDB34037"/>
    <w:rsid w:val="E7EAC5F3"/>
    <w:rsid w:val="EBBF6C5A"/>
    <w:rsid w:val="EC3F17AA"/>
    <w:rsid w:val="EDBB45C8"/>
    <w:rsid w:val="EFE37952"/>
    <w:rsid w:val="EFEE923B"/>
    <w:rsid w:val="F3EFDE8F"/>
    <w:rsid w:val="F3FF2B7E"/>
    <w:rsid w:val="F76F19B2"/>
    <w:rsid w:val="F7CF7613"/>
    <w:rsid w:val="F7F737E9"/>
    <w:rsid w:val="F97F986B"/>
    <w:rsid w:val="FA55D77A"/>
    <w:rsid w:val="FB973334"/>
    <w:rsid w:val="FBB3A364"/>
    <w:rsid w:val="FDBA9694"/>
    <w:rsid w:val="FDBFB375"/>
    <w:rsid w:val="FDDB36BD"/>
    <w:rsid w:val="FDEB49A0"/>
    <w:rsid w:val="FE4BC2C7"/>
    <w:rsid w:val="FF4DA749"/>
    <w:rsid w:val="FF643FE4"/>
    <w:rsid w:val="FF79108E"/>
    <w:rsid w:val="FFC355DD"/>
    <w:rsid w:val="FFCAF70F"/>
    <w:rsid w:val="FFEE9057"/>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1</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2024-11-18T17:44:12Z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