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InterMedium-bold.ttf" ContentType="application/x-font-ttf"/>
  <Override PartName="/word/fonts/InterMedium-boldItalic.ttf" ContentType="application/x-font-ttf"/>
  <Override PartName="/word/fonts/InterMedium-italic.ttf" ContentType="application/x-font-ttf"/>
  <Override PartName="/word/fonts/InterMedium-regular.ttf" ContentType="application/x-font-ttf"/>
  <Override PartName="/word/fonts/InterTight-bold.ttf" ContentType="application/x-font-ttf"/>
  <Override PartName="/word/fonts/InterTight-boldItalic.ttf" ContentType="application/x-font-ttf"/>
  <Override PartName="/word/fonts/InterTight-italic.ttf" ContentType="application/x-font-ttf"/>
  <Override PartName="/word/fonts/InterT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89khdxvj3c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3tvjn1rokok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2pml0nyg7z3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qvxgxu5z2ev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vw19uvihwn0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190u9ttxq9q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nmf3ocaj1mf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240" w:lineRule="auto"/>
        <w:rPr>
          <w:sz w:val="72"/>
          <w:szCs w:val="72"/>
        </w:rPr>
      </w:pPr>
      <w:bookmarkStart w:colFirst="0" w:colLast="0" w:name="_a0iuip53t09q" w:id="7"/>
      <w:bookmarkEnd w:id="7"/>
      <w:r w:rsidDel="00000000" w:rsidR="00000000" w:rsidRPr="00000000">
        <w:rPr>
          <w:sz w:val="72"/>
          <w:szCs w:val="72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62667"/>
            <wp:effectExtent b="0" l="0" r="0" t="0"/>
            <wp:wrapNone/>
            <wp:docPr descr="Abstract background image" id="7" name="image3.png"/>
            <a:graphic>
              <a:graphicData uri="http://schemas.openxmlformats.org/drawingml/2006/picture">
                <pic:pic>
                  <pic:nvPicPr>
                    <pic:cNvPr descr="Abstract background image" id="0" name="image3.png"/>
                    <pic:cNvPicPr preferRelativeResize="0"/>
                  </pic:nvPicPr>
                  <pic:blipFill>
                    <a:blip r:embed="rId6"/>
                    <a:srcRect b="0" l="25" r="2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62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2"/>
          <w:szCs w:val="72"/>
          <w:rtl w:val="0"/>
        </w:rPr>
        <w:t xml:space="preserve">From Natural and ADABAS to Oracle HCM</w:t>
      </w:r>
      <w:r w:rsidDel="00000000" w:rsidR="00000000" w:rsidRPr="00000000">
        <w:rPr>
          <w:sz w:val="72"/>
          <w:szCs w:val="72"/>
          <w:rtl w:val="0"/>
        </w:rPr>
        <w:t xml:space="preserve"/>
      </w:r>
      <w:r w:rsidDel="00000000" w:rsidR="00000000" w:rsidRPr="00000000">
        <w:rPr>
          <w:sz w:val="72"/>
          <w:szCs w:val="72"/>
          <w:rtl w:val="0"/>
        </w:rPr>
        <w:t xml:space="preserve"/>
        <w:t xml:space="preserve"/>
        <w:t xml:space="preserve"/>
      </w:r>
      <w:r w:rsidDel="00000000" w:rsidR="00000000" w:rsidRPr="00000000">
        <w:rPr>
          <w:sz w:val="72"/>
          <w:szCs w:val="72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00" w:lineRule="auto"/>
        <w:rPr>
          <w:b w:val="1"/>
          <w:bCs w:val="1"/>
          <w:color w:val="5687ad"/>
        </w:rPr>
      </w:pPr>
      <w:r w:rsidDel="00000000" w:rsidR="00000000" w:rsidRPr="00000000">
        <w:rPr>
          <w:b w:val="1"/>
          <w:bCs w:val="1"/>
          <w:color w:val="5687ad"/>
          <w:rtl w:val="0"/>
        </w:rPr>
        <w:t xml:space="preserve">A requirements-first modernization baseline — executive value brief for SMX and the Department of the Interior, Interior Business Center (FPPS)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5687ad"/>
        </w:rPr>
      </w:pPr>
      <w:r w:rsidDel="00000000" w:rsidR="00000000" w:rsidRPr="00000000">
        <w:rPr>
          <w:b w:val="1"/>
          <w:bCs w:val="1"/>
          <w:color w:val="5687ad"/>
          <w:rtl w:val="0"/>
        </w:rPr>
        <w:t xml:space="preserve">Prepared by Cognition AI, Inc.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5687a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ageBreakBefore/>
        <w:rPr>
          <w:rFonts w:ascii="Inter Tight" w:cs="Inter Tight" w:eastAsia="Inter Tight" w:hAnsi="Inter Tight"/>
        </w:rPr>
      </w:pPr>
      <w:bookmarkStart w:colFirst="0" w:colLast="0" w:name="_9b312p6hxwny" w:id="8"/>
      <w:bookmarkEnd w:id="8"/>
      <w:r w:rsidDel="00000000" w:rsidR="00000000" w:rsidRPr="00000000">
        <w:rPr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Table of Contents</w:t>
      </w:r>
    </w:p>
    <w:p w:rsidR="00000000" w:rsidDel="00000000" w:rsidP="00000000" w:rsidRDefault="00000000" w:rsidRPr="00000000" w14:paraId="0000000F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sdt>
      <w:sdtPr>
        <w:id w:val="1618376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>
          <w:pPr>
            <w:spacing w:before="0" w:after="0" w:line="240" w:lineRule="auto"/>
            <w:tabs>
              <w:tab w:val="right" w:leader="dot" w:pos="10800"/>
            </w:tabs>
            <w:rPr>
              <w:rFonts w:ascii="Arial" w:hAnsi="Arial"/>
              <w:b/>
              <w:bCs/>
              <w:sz w:val="22"/>
              <w:szCs w:val="22"/>
            </w:rPr>
          </w:pPr>
          <w:r>
            <w:rPr>
              <w:rFonts w:ascii="Arial" w:hAnsi="Arial"/>
              <w:b/>
              <w:bCs/>
              <w:sz w:val="22"/>
              <w:szCs w:val="22"/>
            </w:rPr>
            <w:t xml:space="preserve">The challenge and our approach</w:t>
          </w:r>
          <w:r>
            <w:tab/>
            <w:t xml:space="preserve">4</w:t>
          </w:r>
        </w:p>
        <w:p>
          <w:pPr>
            <w:spacing w:before="0" w:after="0" w:line="240" w:lineRule="auto"/>
            <w:tabs>
              <w:tab w:val="right" w:leader="dot" w:pos="10800"/>
            </w:tabs>
            <w:rPr>
              <w:rFonts w:ascii="Arial" w:hAnsi="Arial"/>
              <w:b/>
              <w:bCs/>
              <w:sz w:val="22"/>
              <w:szCs w:val="22"/>
            </w:rPr>
          </w:pPr>
          <w:r>
            <w:rPr>
              <w:rFonts w:ascii="Arial" w:hAnsi="Arial"/>
              <w:b/>
              <w:bCs/>
              <w:sz w:val="22"/>
              <w:szCs w:val="22"/>
            </w:rPr>
            <w:t xml:space="preserve">What was built: three core work streams</w:t>
          </w:r>
          <w:r>
            <w:tab/>
            <w:t xml:space="preserve">5</w:t>
          </w:r>
        </w:p>
        <w:p>
          <w:pPr>
            <w:spacing w:before="0" w:after="0" w:line="240" w:lineRule="auto"/>
            <w:tabs>
              <w:tab w:val="right" w:leader="dot" w:pos="10800"/>
            </w:tabs>
            <w:ind w:left="360" w:firstLine="0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 xml:space="preserve">Discover and extract (Demonstrated)</w:t>
          </w:r>
          <w:r>
            <w:tab/>
            <w:t xml:space="preserve">5</w:t>
          </w:r>
        </w:p>
        <w:p>
          <w:pPr>
            <w:spacing w:before="0" w:after="0" w:line="240" w:lineRule="auto"/>
            <w:tabs>
              <w:tab w:val="right" w:leader="dot" w:pos="10800"/>
            </w:tabs>
            <w:ind w:left="360" w:firstLine="0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 xml:space="preserve">Baseline and decide (Demonstrated for the sample; Designed at FPPS scale)</w:t>
          </w:r>
          <w:r>
            <w:tab/>
            <w:t xml:space="preserve">5</w:t>
          </w:r>
        </w:p>
        <w:p>
          <w:pPr>
            <w:spacing w:before="0" w:after="0" w:line="240" w:lineRule="auto"/>
            <w:tabs>
              <w:tab w:val="right" w:leader="dot" w:pos="10800"/>
            </w:tabs>
            <w:ind w:left="360" w:firstLine="0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 xml:space="preserve">Prove (Demonstrated on synthetic data)</w:t>
          </w:r>
          <w:r>
            <w:tab/>
            <w:t xml:space="preserve">5</w:t>
          </w:r>
        </w:p>
        <w:p>
          <w:pPr>
            <w:spacing w:before="0" w:after="0" w:line="240" w:lineRule="auto"/>
            <w:tabs>
              <w:tab w:val="right" w:leader="dot" w:pos="10800"/>
            </w:tabs>
            <w:rPr>
              <w:rFonts w:ascii="Arial" w:hAnsi="Arial"/>
              <w:b/>
              <w:bCs/>
              <w:sz w:val="22"/>
              <w:szCs w:val="22"/>
            </w:rPr>
          </w:pPr>
          <w:r>
            <w:rPr>
              <w:rFonts w:ascii="Arial" w:hAnsi="Arial"/>
              <w:b/>
              <w:bCs/>
              <w:sz w:val="22"/>
              <w:szCs w:val="22"/>
            </w:rPr>
            <w:t xml:space="preserve">The rule a naive converter loses</w:t>
          </w:r>
          <w:r>
            <w:tab/>
            <w:t xml:space="preserve">5</w:t>
          </w:r>
        </w:p>
        <w:p>
          <w:pPr>
            <w:spacing w:before="0" w:after="0" w:line="240" w:lineRule="auto"/>
            <w:tabs>
              <w:tab w:val="right" w:leader="dot" w:pos="10800"/>
            </w:tabs>
            <w:rPr>
              <w:rFonts w:ascii="Arial" w:hAnsi="Arial"/>
              <w:b/>
              <w:bCs/>
              <w:sz w:val="22"/>
              <w:szCs w:val="22"/>
            </w:rPr>
          </w:pPr>
          <w:r>
            <w:rPr>
              <w:rFonts w:ascii="Arial" w:hAnsi="Arial"/>
              <w:b/>
              <w:bCs/>
              <w:sz w:val="22"/>
              <w:szCs w:val="22"/>
            </w:rPr>
            <w:t xml:space="preserve">A complete audit trail</w:t>
          </w:r>
          <w:r>
            <w:tab/>
            <w:t xml:space="preserve">5</w:t>
          </w:r>
        </w:p>
        <w:p>
          <w:pPr>
            <w:spacing w:before="0" w:after="0" w:line="240" w:lineRule="auto"/>
            <w:tabs>
              <w:tab w:val="right" w:leader="dot" w:pos="10800"/>
            </w:tabs>
            <w:rPr>
              <w:rFonts w:ascii="Arial" w:hAnsi="Arial"/>
              <w:b/>
              <w:bCs/>
              <w:sz w:val="22"/>
              <w:szCs w:val="22"/>
            </w:rPr>
          </w:pPr>
          <w:r>
            <w:rPr>
              <w:rFonts w:ascii="Arial" w:hAnsi="Arial"/>
              <w:b/>
              <w:bCs/>
              <w:sz w:val="22"/>
              <w:szCs w:val="22"/>
            </w:rPr>
            <w:t xml:space="preserve">An evolving knowledge base</w:t>
          </w:r>
          <w:r>
            <w:tab/>
            <w:t xml:space="preserve">6</w:t>
          </w:r>
        </w:p>
        <w:p>
          <w:pPr>
            <w:spacing w:before="0" w:after="0" w:line="240" w:lineRule="auto"/>
            <w:tabs>
              <w:tab w:val="right" w:leader="dot" w:pos="10800"/>
            </w:tabs>
            <w:rPr>
              <w:rFonts w:ascii="Arial" w:hAnsi="Arial"/>
              <w:b/>
              <w:bCs/>
              <w:sz w:val="22"/>
              <w:szCs w:val="22"/>
            </w:rPr>
          </w:pPr>
          <w:r>
            <w:rPr>
              <w:rFonts w:ascii="Arial" w:hAnsi="Arial"/>
              <w:b/>
              <w:bCs/>
              <w:sz w:val="22"/>
              <w:szCs w:val="22"/>
            </w:rPr>
            <w:t xml:space="preserve">Roadmap, responsibilities, and outcomes</w:t>
          </w:r>
          <w:r>
            <w:tab/>
            <w:t xml:space="preserve">6</w:t>
          </w:r>
        </w:p>
        <w:p>
          <w:pPr/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ind w:left="0" w:firstLine="0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rPr>
          <w:rFonts w:ascii="Inter Tight" w:cs="Inter Tight" w:eastAsia="Inter Tight" w:hAnsi="Inter Tight"/>
        </w:rPr>
      </w:pPr>
      <w:bookmarkStart w:colFirst="0" w:colLast="0" w:name="_i6m3nmp76m5d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spacing w:line="240" w:lineRule="auto"/>
        <w:rPr/>
      </w:pPr>
      <w:bookmarkStart w:colFirst="0" w:colLast="0" w:name="_i8yby4yojfqw" w:id="10"/>
      <w:bookmarkEnd w:id="10"/>
      <w:r w:rsidDel="00000000" w:rsidR="00000000" w:rsidRPr="00000000">
        <w:rPr>
          <w:sz w:val="72"/>
          <w:szCs w:val="72"/>
          <w:rtl w:val="0"/>
        </w:rPr>
        <w:t xml:space="preserve">About Cognition</w:t>
        <w:t xml:space="preserve"/>
      </w:r>
      <w:r w:rsidDel="00000000" w:rsidR="00000000" w:rsidRPr="00000000">
        <w:rPr>
          <w:sz w:val="72"/>
          <w:szCs w:val="72"/>
        </w:rPr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posOffset>-457199</wp:posOffset>
            </wp:positionV>
            <wp:extent cx="7772400" cy="10062667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62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2"/>
          <w:szCs w:val="72"/>
          <w:rtl w:val="0"/>
        </w:rPr>
        <w:t xml:space="preserve"/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5687ad"/>
          <w:sz w:val="32"/>
          <w:szCs w:val="32"/>
        </w:rPr>
      </w:pPr>
      <w:r w:rsidDel="00000000" w:rsidR="00000000" w:rsidRPr="00000000">
        <w:rPr>
          <w:color w:val="5687ad"/>
          <w:sz w:val="32"/>
          <w:szCs w:val="32"/>
          <w:rtl w:val="0"/>
        </w:rPr>
        <w:t xml:space="preserve">Cognition AI builds production-grade autonomous software engineering systems, empowering thousands of developers across the largest organizations in the U.S. Government — NASA JPL, the Social Security Administration, and every Department of War branch: U.S. Army, U.S. Navy, U.S. Air Force, U.S. Marine Corps — as well as the defense industrial base, including Palantir, Anduril, Lockheed Martin, and BAE Systems. The platform is security-first by design: FedRAMP High authorized (via Palantir FedStart on AWS GovCloud) and DoD IL4, IL5, and IL6 compliant.</w:t>
      </w:r>
    </w:p>
    <w:p w:rsidR="00000000" w:rsidDel="00000000" w:rsidP="00000000" w:rsidRDefault="00000000" w:rsidRPr="00000000" w14:paraId="0000001C">
      <w:pPr>
        <w:rPr>
          <w:color w:val="5687a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5687ad"/>
        </w:rPr>
      </w:pPr>
      <w:r w:rsidDel="00000000" w:rsidR="00000000" w:rsidRPr="00000000">
        <w:rPr>
          <w:color w:val="5687ad"/>
          <w:rtl w:val="0"/>
        </w:rPr>
        <w:t xml:space="preserve">At the core is Devin: cloud-based autonomous software engineering that plans and executes complex, multi-step engineering work across real codebases — autonomous, parallel, and effectively infinite in scale — in production with customers today.</w:t>
      </w:r>
    </w:p>
    <w:p w:rsidR="00000000" w:rsidDel="00000000" w:rsidP="00000000" w:rsidRDefault="00000000" w:rsidRPr="00000000" w14:paraId="0000001E">
      <w:pPr>
        <w:rPr>
          <w:color w:val="5687a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5687ad"/>
        </w:rPr>
      </w:pPr>
      <w:r w:rsidDel="00000000" w:rsidR="00000000" w:rsidRPr="00000000">
        <w:rPr>
          <w:color w:val="5687ad"/>
          <w:rtl w:val="0"/>
        </w:rPr>
        <w:t xml:space="preserve">Devin anchors the broader Cognition platform — DeepWiki for codebase intelligence, CLI and IDE developer tools, and Devin Review for lifecycle, CI, and change management — combined with federal audit and compliance automation (NIST, STIG) and Devin Security Swarm: complex, multi-threaded security analysis and remediation built for the hardest problems in the federal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rPr>
          <w:rFonts w:ascii="Inter Tight" w:cs="Inter Tight" w:eastAsia="Inter Tight" w:hAnsi="Inter Tight"/>
        </w:rPr>
        <w:sectPr>
          <w:headerReference r:id="rId10" w:type="first"/>
          <w:footerReference r:id="rId11" w:type="default"/>
          <w:footerReference r:id="rId12" w:type="first"/>
          <w:pgSz w:h="15840" w:w="12240" w:orient="portrait"/>
          <w:pgMar w:bottom="720" w:top="720" w:left="720" w:right="720" w:header="720" w:footer="431.99999999999994"/>
          <w:pgNumType w:start="1"/>
          <w:titlePg w:val="1"/>
        </w:sectPr>
      </w:pPr>
      <w:bookmarkStart w:colFirst="0" w:colLast="0" w:name="_m6oxcxh0itug" w:id="18"/>
      <w:bookmarkEnd w:id="18"/>
      <w:r w:rsidDel="00000000" w:rsidR="00000000" w:rsidRPr="00000000">
        <w:rPr>
          <w:rtl w:val="0"/>
        </w:rPr>
      </w:r>
    </w:p>
    <w:p>
      <w:pPr>
        <w:pStyle w:val="Heading1"/>
        <w:spacing w:before="180" w:after="60" w:line="240" w:lineRule="auto"/>
        <w:keepNext/>
      </w:pPr>
      <w:r>
        <w:rPr/>
        <w:t xml:space="preserve">The challenge and our approach</w:t>
      </w:r>
    </w:p>
    <w:p>
      <w:pPr>
        <w:pStyle w:val="Normal"/>
        <w:spacing w:before="0" w:after="120" w:line="240" w:lineRule="auto"/>
      </w:pPr>
      <w:r>
        <w:rPr>
          <w:b/>
          <w:bCs/>
        </w:rPr>
        <w:t xml:space="preserve">FPPS is a Software AG Natural estate, and the path to a modern HCM runs through its requirements, not through its syntax.</w:t>
      </w:r>
      <w:r>
        <w:rPr/>
        <w:t xml:space="preserve"> FPPS is roughly 7 million lines of Natural 9.x across more than 100,000 modules on ADABAS 8.6 and z/OS 2.5, driven by about 7,800 JCL jobs. It is not COBOL, and it will not be "converted." The destination is Oracle HCM or an alternate HCM platform — a configured product, not a rewritten program. What the implementing integrator needs is the thing that has historically been the most expensive and least reliable part of any such program: a complete, verified statement of what the legacy system actually does, what it must keep doing, and what should be left behind.</w:t>
      </w:r>
    </w:p>
    <w:p>
      <w:pPr>
        <w:pStyle w:val="Normal"/>
        <w:spacing w:before="0" w:after="120" w:line="240" w:lineRule="auto"/>
      </w:pPr>
      <w:r>
        <w:rPr/>
        <w:t xml:space="preserve">Direct code conversion — pointing a general-purpose AI tool at legacy source and asking for a new language — has already been tried against this class of system and does not produce that statement. It reproduces accidents alongside intent, carries dead paths forward, and hands the integrator a second system to reverse-engineer. A traditional interview-driven requirements engagement for an estate of this size has been quoted at roughly $30 million and would take years.</w:t>
      </w:r>
    </w:p>
    <w:p>
      <w:pPr>
        <w:pStyle w:val="Normal"/>
        <w:spacing w:before="0" w:after="120" w:line="240" w:lineRule="auto"/>
      </w:pPr>
      <w:r>
        <w:rPr>
          <w:b/>
          <w:bCs/>
        </w:rPr>
        <w:t xml:space="preserve">Our approach is requirements-first extraction, proven on a real Natural/ADABAS application before it is proposed for FPPS.</w:t>
      </w:r>
      <w:r>
        <w:rPr/>
        <w:t xml:space="preserve"> Devin reads the Natural sources, ADABAS data definitions, STEPLIB configuration, and deployment descriptors; extracts every rule, data element, process, and interface with a citation to the exact source line; separates the logic that must be carried from the logic that must not; and packages the result as a requirements baseline with acceptance criteria and executable reconciliation harnesses. Everything in this package was produced from the Sunny Islands Cruise sample — a public Software AG Natural for AJAX / ADABAS application that structurally mirrors FPPS — on synthetic data. No production system, production data, or FPPS source was touched or is required to reproduce it.</w:t>
      </w:r>
    </w:p>
    <w:p>
      <w:pPr>
        <w:pStyle w:val="Normal"/>
        <w:spacing w:before="0" w:after="120" w:line="240" w:lineRule="auto"/>
      </w:pPr>
      <w:r>
        <w:rPr>
          <w:b/>
          <w:bCs/>
        </w:rPr>
        <w:t xml:space="preserve">Devin is a force multiplier for the payroll and integration experts, not a replacement for them.</w:t>
      </w:r>
      <w:r>
        <w:rPr/>
        <w:t xml:space="preserve"> The AI does the exhaustive, repeatable work — reading every module, citing every line, regenerating every artifact when the source changes — and surfaces only the exceptions that need human judgement. The integrator's analysts and the agency's subject-matter experts keep ownership of every design decision and every sign-off.</w:t>
      </w:r>
    </w:p>
    <w:p>
      <w:pPr>
        <w:pStyle w:val="Normal"/>
        <w:spacing w:before="0" w:after="120" w:line="240" w:lineRule="auto"/>
        <w:keepNext/>
      </w:pPr>
      <w:r>
        <w:rPr>
          <w:b/>
          <w:bCs/>
        </w:rPr>
        <w:t xml:space="preserve">FIGURE 1. The requirements-first path. Legacy sources are read, never rewritten; the requirements baseline drives both HCM configuration and the pre- and post-load tests that prove it, and every test exception feeds back into the baseline — all on synthetic data.</w:t>
      </w:r>
    </w:p>
    <w:p>
      <w:pPr>
        <w:pStyle w:val="Normal"/>
        <w:jc w:val="center"/>
      </w:pPr>
      <w:r>
        <w:drawing>
          <wp:inline>
            <wp:extent cx="5943600" cy="28580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-ch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 w:line="240" w:lineRule="auto"/>
      </w:pPr>
      <w:r>
        <w:rPr/>
        <w:t xml:space="preserve">Every statement below carries a maturity label. </w:t>
      </w:r>
      <w:r>
        <w:rPr>
          <w:b/>
          <w:bCs/>
        </w:rPr>
        <w:t xml:space="preserve">Demonstrated</w:t>
      </w:r>
      <w:r>
        <w:rPr/>
        <w:t xml:space="preserve"> means it runs in the repository today and its output is checked in and reproducible. </w:t>
      </w:r>
      <w:r>
        <w:rPr>
          <w:b/>
          <w:bCs/>
        </w:rPr>
        <w:t xml:space="preserve">Designed</w:t>
      </w:r>
      <w:r>
        <w:rPr/>
        <w:t xml:space="preserve"> means the method is specified against the sample but has not yet been executed at FPPS scale. </w:t>
      </w:r>
      <w:r>
        <w:rPr>
          <w:b/>
          <w:bCs/>
        </w:rPr>
        <w:t xml:space="preserve">Roadmap</w:t>
      </w:r>
      <w:r>
        <w:rPr/>
        <w:t xml:space="preserve"> means it depends on inputs the repository does not contain — real FPPS JCL, Natural Predict/XRef exports, runtime traces, or subject-matter-expert sign-off.</w:t>
      </w:r>
    </w:p>
    <w:p>
      <w:pPr>
        <w:pStyle w:val="Heading1"/>
        <w:spacing w:before="180" w:after="60" w:line="240" w:lineRule="auto"/>
        <w:keepNext/>
      </w:pPr>
      <w:r>
        <w:rPr/>
        <w:t xml:space="preserve">What was built: three core work streams</w:t>
      </w:r>
    </w:p>
    <w:p>
      <w:pPr>
        <w:pStyle w:val="Heading2"/>
        <w:spacing w:before="120" w:after="60" w:line="240" w:lineRule="auto"/>
        <w:keepNext/>
      </w:pPr>
      <w:r>
        <w:rPr/>
        <w:t xml:space="preserve">Discover and extract (Demonstrated)</w:t>
      </w:r>
    </w:p>
    <w:p>
      <w:pPr>
        <w:pStyle w:val="Normal"/>
        <w:spacing w:before="0" w:after="120" w:line="240" w:lineRule="auto"/>
      </w:pPr>
      <w:r>
        <w:rPr>
          <w:b/>
          <w:bCs/>
        </w:rPr>
        <w:t xml:space="preserve">You cannot scope, price, or configure what you cannot see.</w:t>
      </w:r>
      <w:r>
        <w:rPr/>
        <w:t xml:space="preserve"> The package opens with a discoverability baseline — module inventory, call graph, and interface map across the business-logic and presentation libraries — generated from the sources rather than drawn by hand. On that map sits the business-rule catalogue: sixty rule entries, each stated in the plain language a payroll analyst uses for an eligibility or validation edit, each citing file and line in the real Natural source, each carrying a confidence score, an HCM analog, and a disposition. The four ADABAS data definitions become a field-level data dictionary — the definition of master data that HCM Data Loader mapping starts from — and the transaction flows become BPMN-oriented process definitions an Oracle HCM configuration team can map directly.</w:t>
      </w:r>
    </w:p>
    <w:p>
      <w:pPr>
        <w:pStyle w:val="Heading2"/>
        <w:spacing w:before="120" w:after="60" w:line="240" w:lineRule="auto"/>
        <w:keepNext/>
      </w:pPr>
      <w:r>
        <w:rPr/>
        <w:t xml:space="preserve">Baseline and decide (Demonstrated for the sample; Designed at FPPS scale)</w:t>
      </w:r>
    </w:p>
    <w:p>
      <w:pPr>
        <w:pStyle w:val="Normal"/>
        <w:spacing w:before="0" w:after="120" w:line="240" w:lineRule="auto"/>
      </w:pPr>
      <w:r>
        <w:rPr>
          <w:b/>
          <w:bCs/>
        </w:rPr>
        <w:t xml:space="preserve">The requirements baseline is the strategic prize.</w:t>
      </w:r>
      <w:r>
        <w:rPr/>
        <w:t xml:space="preserve"> It restates the extracted behaviour as twenty-nine numbered requirements — functional, data, integrity, interface, and non-functional — with fifty-nine Given/When/Then acceptance criteria, an HCM-fit rating for each (standard, configured, extension, integration, or out of scope), and generated cross-checks that fail the build if a rule loses its requirement or a requirement loses its rule. Alongside it sits the artifact most modernization programs never produce: a migration-disposition ledger of what </w:t>
      </w:r>
      <w:r>
        <w:rPr>
          <w:b/>
          <w:bCs/>
        </w:rPr>
        <w:t xml:space="preserve">not</w:t>
      </w:r>
      <w:r>
        <w:rPr/>
        <w:t xml:space="preserve"> to build. A static analyzer over the Natural sources finds the unreferenced objects, unreachable paths, never-emitted message codes, never-populated interface fields, and commented-out logic; the ledger binds every finding to evidence, a confidence score, a proposed disposition, and an SME sign-off column, so nothing is retired by guesswork and nothing dead is re-implemented at Oracle HCM prices.</w:t>
      </w:r>
    </w:p>
    <w:p>
      <w:pPr>
        <w:pStyle w:val="Heading2"/>
        <w:spacing w:before="120" w:after="60" w:line="240" w:lineRule="auto"/>
        <w:keepNext/>
      </w:pPr>
      <w:r>
        <w:rPr/>
        <w:t xml:space="preserve">Prove (Demonstrated on synthetic data)</w:t>
      </w:r>
    </w:p>
    <w:p>
      <w:pPr>
        <w:pStyle w:val="Normal"/>
        <w:spacing w:before="0" w:after="120" w:line="240" w:lineRule="auto"/>
      </w:pPr>
      <w:r>
        <w:rPr>
          <w:b/>
          <w:bCs/>
        </w:rPr>
        <w:t xml:space="preserve">Testing is the deliverable.</w:t>
      </w:r>
      <w:r>
        <w:rPr/>
        <w:t xml:space="preserve"> Before load, a master-data cleansing harness profiles the legacy data, applies cleansing rules, and reconciles the result so that dirty master data — the leading cause of failed HCM loads — is caught on the legacy side. After load, an equivalence harness compares the HCM's own output files to the legacy behaviour transaction by transaction: control totals, penny-level amounts, record-level audit trail, and an exception report, demonstrated on a clean batch and a deliberately broken batch. A regression suite and JCL run-compare generator protect the pay run during and after cut-over. The Python in these harnesses validates the HCM; it is never the target of a rewrite.</w:t>
      </w:r>
    </w:p>
    <w:p>
      <w:pPr>
        <w:pStyle w:val="Heading1"/>
        <w:spacing w:before="180" w:after="60" w:line="240" w:lineRule="auto"/>
        <w:keepNext/>
      </w:pPr>
      <w:r>
        <w:rPr/>
        <w:t xml:space="preserve">The rule a naive converter loses</w:t>
      </w:r>
    </w:p>
    <w:p>
      <w:pPr>
        <w:pStyle w:val="Normal"/>
        <w:spacing w:before="0" w:after="120" w:line="240" w:lineRule="auto"/>
      </w:pPr>
      <w:r>
        <w:rPr>
          <w:b/>
          <w:bCs/>
        </w:rPr>
        <w:t xml:space="preserve">Differentiator: the booking service CONEW-N, the sample's analog of a pay or personnel transaction.</w:t>
      </w:r>
      <w:r>
        <w:rPr/>
        <w:t xml:space="preserve"> It originally read the cruise availability counter outside a record hold and generated the contract identifier as "highest existing value plus one" without holding the highest record. Under concurrent users it silently oversells the cruise and raises duplicate-key errors. A line-by-line converter carries that defect into the new platform unchanged, because the code is syntactically correct. Requirements-first extraction surfaces it as what it is: an </w:t>
      </w:r>
      <w:r>
        <w:rPr>
          <w:i/>
          <w:iCs/>
        </w:rPr>
        <w:t xml:space="preserve">integrity requirement</w:t>
      </w:r>
      <w:r>
        <w:rPr/>
        <w:t xml:space="preserve"> — a held test-and-set on a balance and a platform-generated identifier — that Oracle HCM satisfies by configuration, not by translated code. In a payroll, this is exactly the class of defect that silently corrupts a pay run and is discovered by an employee, not by a test.</w:t>
      </w:r>
    </w:p>
    <w:p>
      <w:pPr>
        <w:pStyle w:val="Normal"/>
        <w:spacing w:before="0" w:after="120" w:line="240" w:lineRule="auto"/>
      </w:pPr>
      <w:r>
        <w:rPr/>
        <w:t xml:space="preserve">The same extraction found what the sample must </w:t>
      </w:r>
      <w:r>
        <w:rPr>
          <w:b/>
          <w:bCs/>
        </w:rPr>
        <w:t xml:space="preserve">not</w:t>
      </w:r>
      <w:r>
        <w:rPr/>
        <w:t xml:space="preserve"> carry: twenty of its thirty-one catalogued message codes are never emitted by executable code, including a hard-coded chain of 2015–2020 year edits; the user, password, and language parameters passed to every service are never set, so the "security" contract is inert and the German message catalogue is unreachable; and a first-name field is read from one variable and written from another, so typed first names are never persisted. Each is a static candidate with a confidence score, not a verdict — runtime evidence and SME confirmation close each one — and each is a line an HCM program should never pay to build.</w:t>
      </w:r>
    </w:p>
    <w:p>
      <w:pPr>
        <w:pStyle w:val="Heading1"/>
        <w:spacing w:before="180" w:after="60" w:line="240" w:lineRule="auto"/>
        <w:keepNext/>
      </w:pPr>
      <w:r>
        <w:rPr/>
        <w:t xml:space="preserve">A complete audit trail</w:t>
      </w:r>
    </w:p>
    <w:p>
      <w:pPr>
        <w:pStyle w:val="Normal"/>
        <w:spacing w:before="0" w:after="120" w:line="240" w:lineRule="auto"/>
      </w:pPr>
      <w:r>
        <w:rPr>
          <w:b/>
          <w:bCs/>
        </w:rPr>
        <w:t xml:space="preserve">Every claim in the package traces to a source line, and every generated number is checked against its generator.</w:t>
      </w:r>
      <w:r>
        <w:rPr/>
        <w:t xml:space="preserve"> Rules cite file and line in the real Natural source; requirements cite rules; acceptance criteria cite requirements. The disposition ledger claims every analyzer finding exactly once, and the regression suite regenerates every artifact in memory and fails on drift. For a CIO who has watched a modernization attempt fail on undocumented behaviour, this is the difference between "the vendor says the requirements are complete" and "anyone with the repository can prove it."</w:t>
      </w:r>
    </w:p>
    <w:p>
      <w:pPr>
        <w:pStyle w:val="Heading1"/>
        <w:spacing w:before="180" w:after="60" w:line="240" w:lineRule="auto"/>
        <w:keepNext/>
      </w:pPr>
      <w:r>
        <w:rPr/>
        <w:t xml:space="preserve">An evolving knowledge base</w:t>
      </w:r>
    </w:p>
    <w:p>
      <w:pPr>
        <w:pStyle w:val="Normal"/>
        <w:spacing w:before="0" w:after="120" w:line="240" w:lineRule="auto"/>
      </w:pPr>
      <w:r>
        <w:rPr>
          <w:b/>
          <w:bCs/>
        </w:rPr>
        <w:t xml:space="preserve">The analyzer, the ledger schema, and the acceptance-test patterns are reusable assets, not a one-time report.</w:t>
      </w:r>
      <w:r>
        <w:rPr/>
        <w:t xml:space="preserve"> Each FPPS library tranche runs through the same pipeline; each SME decision recorded in a ledger row becomes a rule the next tranche inherits; each reconciliation exception corrects either the baseline or the HCM configuration, and the harness records which. At FPPS scale the static candidates gain confidence from Natural Predict/XRef exports, JCL and scheduler evidence, and profiler traces and ADABAS logs across a full pay year (Roadmap). The result is a living requirements baseline that the SI configures against and the agency owns after go-live, with DeepWiki as the codebase intelligence layer over the legacy estate and Devin Review governing every change.</w:t>
      </w:r>
    </w:p>
    <w:p>
      <w:pPr>
        <w:pStyle w:val="Heading1"/>
        <w:spacing w:before="180" w:after="60" w:line="240" w:lineRule="auto"/>
        <w:keepNext/>
      </w:pPr>
      <w:r>
        <w:rPr/>
        <w:t xml:space="preserve">Roadmap, responsibilities, and outcomes</w:t>
      </w:r>
    </w:p>
    <w:p>
      <w:pPr>
        <w:pStyle w:val="Normal"/>
        <w:spacing w:before="0" w:after="120" w:line="240" w:lineRule="auto"/>
      </w:pPr>
      <w:r>
        <w:rPr>
          <w:b/>
          <w:bCs/>
        </w:rPr>
        <w:t xml:space="preserve">Phase 0 — sample proof (Demonstrated, this package).</w:t>
      </w:r>
      <w:r>
        <w:rPr/>
        <w:t xml:space="preserve"> End-to-end pipeline on the Sunny Islands Cruise application, reproducible from the repository with one test command. </w:t>
      </w:r>
      <w:r>
        <w:rPr>
          <w:b/>
          <w:bCs/>
        </w:rPr>
        <w:t xml:space="preserve">Phase 1 — FPPS pilot tranche (Designed).</w:t>
      </w:r>
      <w:r>
        <w:rPr/>
        <w:t xml:space="preserve"> One Natural library tranche and its ADABAS files, on masked or synthetic data within the agency's boundary; the same generators and drift gates; first SME-signed dispositions; a measured rate of rules per module to price the full estate honestly. </w:t>
      </w:r>
      <w:r>
        <w:rPr>
          <w:b/>
          <w:bCs/>
        </w:rPr>
        <w:t xml:space="preserve">Phase 2 — estate-wide baseline (Roadmap).</w:t>
      </w:r>
      <w:r>
        <w:rPr/>
        <w:t xml:space="preserve"> Parallel Devin sessions across the remaining libraries and the JCL inventory, feeding the Oracle HCM configuration workbooks and HCM Data Loader mappings. </w:t>
      </w:r>
      <w:r>
        <w:rPr>
          <w:b/>
          <w:bCs/>
        </w:rPr>
        <w:t xml:space="preserve">Phase 3 — HCM acceptance (Roadmap).</w:t>
      </w:r>
      <w:r>
        <w:rPr/>
        <w:t xml:space="preserve"> Equivalence and penny-level reconciliation against the HCM's outputs for each parallel pay period, closing the baseline before cut-over.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790"/>
        <w:gridCol w:w="3430"/>
        <w:gridCol w:w="3140"/>
      </w:tblGrid>
      <w:tr>
        <w:trPr>
          <w:tblHeader/>
        </w:trPr>
        <w:tc>
          <w:tcPr>
            <w:tcW w:w="2790" w:type="dxa"/>
            <w:shd w:val="clear" w:color="auto" w:fill="3969CA"/>
          </w:tcPr>
          <w:p>
            <w:pPr>
              <w:pStyle w:val="Normal"/>
            </w:pPr>
            <w:r>
              <w:rPr>
                <w:b/>
                <w:color w:val="FFFFFF"/>
              </w:rPr>
              <w:t xml:space="preserve">Work stream</w:t>
            </w:r>
          </w:p>
        </w:tc>
        <w:tc>
          <w:tcPr>
            <w:tcW w:w="3430" w:type="dxa"/>
            <w:shd w:val="clear" w:color="auto" w:fill="3969CA"/>
          </w:tcPr>
          <w:p>
            <w:pPr>
              <w:pStyle w:val="Normal"/>
            </w:pPr>
            <w:r>
              <w:rPr>
                <w:b/>
                <w:color w:val="FFFFFF"/>
              </w:rPr>
              <w:t xml:space="preserve">Cognition (sub-prime, AI software-engineering scope)</w:t>
            </w:r>
          </w:p>
        </w:tc>
        <w:tc>
          <w:tcPr>
            <w:tcW w:w="3140" w:type="dxa"/>
            <w:shd w:val="clear" w:color="auto" w:fill="3969CA"/>
          </w:tcPr>
          <w:p>
            <w:pPr>
              <w:pStyle w:val="Normal"/>
            </w:pPr>
            <w:r>
              <w:rPr>
                <w:b/>
                <w:color w:val="FFFFFF"/>
              </w:rPr>
              <w:t xml:space="preserve">SMX / Navancio (prime, payroll and SI backbone)</w:t>
            </w:r>
          </w:p>
        </w:tc>
      </w:tr>
      <w:tr>
        <w:tc>
          <w:tcPr>
            <w:tcW w:w="2790" w:type="dxa"/>
          </w:tcPr>
          <w:p>
            <w:pPr>
              <w:pStyle w:val="Normal"/>
            </w:pPr>
            <w:r>
              <w:rPr/>
              <w:t xml:space="preserve">Discovery, rules, data dictionary, process flows</w:t>
            </w:r>
          </w:p>
        </w:tc>
        <w:tc>
          <w:tcPr>
            <w:tcW w:w="3430" w:type="dxa"/>
          </w:tcPr>
          <w:p>
            <w:pPr>
              <w:pStyle w:val="Normal"/>
            </w:pPr>
            <w:r>
              <w:rPr/>
              <w:t xml:space="preserve">Owns — generation, traceability, confidence scoring</w:t>
            </w:r>
          </w:p>
        </w:tc>
        <w:tc>
          <w:tcPr>
            <w:tcW w:w="3140" w:type="dxa"/>
          </w:tcPr>
          <w:p>
            <w:pPr>
              <w:pStyle w:val="Normal"/>
            </w:pPr>
            <w:r>
              <w:rPr/>
              <w:t xml:space="preserve">Validates payroll semantics; names the HCM analog</w:t>
            </w:r>
          </w:p>
        </w:tc>
      </w:tr>
      <w:tr>
        <w:tc>
          <w:tcPr>
            <w:tcW w:w="2790" w:type="dxa"/>
          </w:tcPr>
          <w:p>
            <w:pPr>
              <w:pStyle w:val="Normal"/>
            </w:pPr>
            <w:r>
              <w:rPr/>
              <w:t xml:space="preserve">Requirements baseline and disposition ledger</w:t>
            </w:r>
          </w:p>
        </w:tc>
        <w:tc>
          <w:tcPr>
            <w:tcW w:w="3430" w:type="dxa"/>
          </w:tcPr>
          <w:p>
            <w:pPr>
              <w:pStyle w:val="Normal"/>
            </w:pPr>
            <w:r>
              <w:rPr/>
              <w:t xml:space="preserve">Owns — drafting, evidence binding, drift gates</w:t>
            </w:r>
          </w:p>
        </w:tc>
        <w:tc>
          <w:tcPr>
            <w:tcW w:w="3140" w:type="dxa"/>
          </w:tcPr>
          <w:p>
            <w:pPr>
              <w:pStyle w:val="Normal"/>
            </w:pPr>
            <w:r>
              <w:rPr/>
              <w:t xml:space="preserve">Owns SME sign-off, agency requirements governance</w:t>
            </w:r>
          </w:p>
        </w:tc>
      </w:tr>
      <w:tr>
        <w:tc>
          <w:tcPr>
            <w:tcW w:w="2790" w:type="dxa"/>
          </w:tcPr>
          <w:p>
            <w:pPr>
              <w:pStyle w:val="Normal"/>
            </w:pPr>
            <w:r>
              <w:rPr/>
              <w:t xml:space="preserve">Master-data cleansing and reconciliation</w:t>
            </w:r>
          </w:p>
        </w:tc>
        <w:tc>
          <w:tcPr>
            <w:tcW w:w="3430" w:type="dxa"/>
          </w:tcPr>
          <w:p>
            <w:pPr>
              <w:pStyle w:val="Normal"/>
            </w:pPr>
            <w:r>
              <w:rPr/>
              <w:t xml:space="preserve">Owns — harness build and execution on synthetic/masked data</w:t>
            </w:r>
          </w:p>
        </w:tc>
        <w:tc>
          <w:tcPr>
            <w:tcW w:w="3140" w:type="dxa"/>
          </w:tcPr>
          <w:p>
            <w:pPr>
              <w:pStyle w:val="Normal"/>
            </w:pPr>
            <w:r>
              <w:rPr/>
              <w:t xml:space="preserve">Owns data-sharing agreements, extracts, load execution</w:t>
            </w:r>
          </w:p>
        </w:tc>
      </w:tr>
      <w:tr>
        <w:tc>
          <w:tcPr>
            <w:tcW w:w="2790" w:type="dxa"/>
          </w:tcPr>
          <w:p>
            <w:pPr>
              <w:pStyle w:val="Normal"/>
            </w:pPr>
            <w:r>
              <w:rPr/>
              <w:t xml:space="preserve">Equivalence, regression, and run-compare</w:t>
            </w:r>
          </w:p>
        </w:tc>
        <w:tc>
          <w:tcPr>
            <w:tcW w:w="3430" w:type="dxa"/>
          </w:tcPr>
          <w:p>
            <w:pPr>
              <w:pStyle w:val="Normal"/>
            </w:pPr>
            <w:r>
              <w:rPr/>
              <w:t xml:space="preserve">Owns — harness build, exception analysis</w:t>
            </w:r>
          </w:p>
        </w:tc>
        <w:tc>
          <w:tcPr>
            <w:tcW w:w="3140" w:type="dxa"/>
          </w:tcPr>
          <w:p>
            <w:pPr>
              <w:pStyle w:val="Normal"/>
            </w:pPr>
            <w:r>
              <w:rPr/>
              <w:t xml:space="preserve">Owns HCM output extraction, defect triage in the HCM</w:t>
            </w:r>
          </w:p>
        </w:tc>
      </w:tr>
      <w:tr>
        <w:tc>
          <w:tcPr>
            <w:tcW w:w="2790" w:type="dxa"/>
          </w:tcPr>
          <w:p>
            <w:pPr>
              <w:pStyle w:val="Normal"/>
            </w:pPr>
            <w:r>
              <w:rPr/>
              <w:t xml:space="preserve">HCM configuration, HDL loads, integrations, ATO</w:t>
            </w:r>
          </w:p>
        </w:tc>
        <w:tc>
          <w:tcPr>
            <w:tcW w:w="3430" w:type="dxa"/>
          </w:tcPr>
          <w:p>
            <w:pPr>
              <w:pStyle w:val="Normal"/>
            </w:pPr>
            <w:r>
              <w:rPr/>
              <w:t xml:space="preserve">Advises; supports FedRAMP High boundary evidence</w:t>
            </w:r>
          </w:p>
        </w:tc>
        <w:tc>
          <w:tcPr>
            <w:tcW w:w="3140" w:type="dxa"/>
          </w:tcPr>
          <w:p>
            <w:pPr>
              <w:pStyle w:val="Normal"/>
            </w:pPr>
            <w:r>
              <w:rPr/>
              <w:t xml:space="preserve">Owns</w:t>
            </w:r>
          </w:p>
        </w:tc>
      </w:tr>
    </w:tbl>
    <w:p>
      <w:pPr>
        <w:pStyle w:val="Normal"/>
        <w:spacing w:before="0" w:after="120" w:line="240" w:lineRule="auto"/>
      </w:pPr>
      <w:r>
        <w:rPr>
          <w:b/>
          <w:bCs/>
        </w:rPr>
        <w:t xml:space="preserve">Honest scope.</w:t>
      </w:r>
      <w:r>
        <w:rPr/>
        <w:t xml:space="preserve"> Cognition expects to own roughly 50–60 percent of the program's AI software-engineering scope as sub-prime — the extraction, baseline, evidence, and validation-harness work above. Payroll subject-matter expertise, the authority-to-operate path, HCM configuration, and the systems-integration backbone belong with SMX and Navancio.</w:t>
      </w:r>
    </w:p>
    <w:p>
      <w:pPr>
        <w:pStyle w:val="Normal"/>
        <w:spacing w:before="0" w:after="120" w:line="240" w:lineRule="auto"/>
      </w:pPr>
      <w:r>
        <w:rPr>
          <w:b/>
          <w:bCs/>
        </w:rPr>
        <w:t xml:space="preserve">Outcome.</w:t>
      </w:r>
      <w:r>
        <w:rPr/>
        <w:t xml:space="preserve"> The integrator receives a requirements baseline it can configure against, a disposition ledger that keeps dead and defective logic out of the new platform, and executable harnesses that let the agency verify the HCM's output for itself — from synthetic data, reproducible by anyone with the repository, in a fraction of the time and cost of an interview-driven requirements program.</w:t>
      </w:r>
    </w:p>
    <w:p>
      <w:pPr>
        <w:pStyle w:val="Normal"/>
        <w:spacing w:before="0" w:after="120" w:line="240" w:lineRule="auto"/>
      </w:pPr>
      <w:r>
        <w:rPr>
          <w:i/>
          <w:iCs/>
        </w:rPr>
        <w:t xml:space="preserve">This brief describes work on a public Software AG sample application using synthetic data; statements about FPPS are analogies from the sample, labelled by maturity. Oracle HCM is a trademark of Oracle Corporation; Natural and ADABAS are trademarks of Software AG. Cognition AI, Inc. — cognition.ai</w:t>
      </w:r>
    </w:p>
    <w:sectPr>
      <w:type w:val="nextPage"/>
      <w:pgSz w:h="15840" w:w="12240" w:orient="portrait"/>
      <w:pgMar w:bottom="720" w:top="720" w:left="720" w:right="720" w:header="720" w:footer="431.9999999999999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T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right"/>
      <w:rPr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-57149</wp:posOffset>
          </wp:positionH>
          <wp:positionV relativeFrom="paragraph">
            <wp:posOffset>45721</wp:posOffset>
          </wp:positionV>
          <wp:extent cx="1362075" cy="34763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1731" l="-2378" r="-2378" t="-11731"/>
                  <a:stretch>
                    <a:fillRect/>
                  </a:stretch>
                </pic:blipFill>
                <pic:spPr>
                  <a:xfrm>
                    <a:off x="0" y="0"/>
                    <a:ext cx="1362075" cy="3476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0">
    <w:pPr>
      <w:jc w:val="right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FPPS → HCM executive value brief  |  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t xml:space="preserve">1</w:t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 Tight" w:cs="Inter Tight" w:eastAsia="Inter Tight" w:hAnsi="Inter Tight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Inter Tight" w:cs="Inter Tight" w:eastAsia="Inter Tight" w:hAnsi="Inter Tight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Inter Tight" w:cs="Inter Tight" w:eastAsia="Inter Tight" w:hAnsi="Inter Tight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Inter Tight" w:cs="Inter Tight" w:eastAsia="Inter Tight" w:hAnsi="Inter Tight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5.jp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InterTight-regular.ttf"/><Relationship Id="rId6" Type="http://schemas.openxmlformats.org/officeDocument/2006/relationships/font" Target="fonts/InterTight-bold.ttf"/><Relationship Id="rId7" Type="http://schemas.openxmlformats.org/officeDocument/2006/relationships/font" Target="fonts/InterTight-italic.ttf"/><Relationship Id="rId8" Type="http://schemas.openxmlformats.org/officeDocument/2006/relationships/font" Target="fonts/InterTigh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