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gnexiaaihealthcare"/>
    <w:p>
      <w:pPr>
        <w:pStyle w:val="Heading1"/>
      </w:pPr>
      <w:r>
        <w:t xml:space="preserve">CognexiaAiHealthcare</w:t>
      </w:r>
    </w:p>
    <w:bookmarkStart w:id="21" w:name="hero-section"/>
    <w:p>
      <w:pPr>
        <w:pStyle w:val="Heading2"/>
      </w:pPr>
      <w:r>
        <w:t xml:space="preserve">HERO SECTION</w:t>
      </w:r>
    </w:p>
    <w:bookmarkStart w:id="20" w:name="Xb507c20a7ca69616ec4a8b724fa32d60785f949"/>
    <w:p>
      <w:pPr>
        <w:pStyle w:val="Heading3"/>
      </w:pPr>
      <w:r>
        <w:t xml:space="preserve">Secure AI Intelligence for Healthcare Workflows</w:t>
      </w:r>
    </w:p>
    <w:p>
      <w:pPr>
        <w:pStyle w:val="FirstParagraph"/>
      </w:pPr>
      <w:r>
        <w:rPr>
          <w:b/>
          <w:bCs/>
        </w:rPr>
        <w:t xml:space="preserve">AI designed for care teams. Built for privacy, compliance, and trust.</w:t>
      </w:r>
    </w:p>
    <w:p>
      <w:pPr>
        <w:pStyle w:val="BodyText"/>
      </w:pPr>
      <w:r>
        <w:t xml:space="preserve">CognexiaAiHealthcare is a healthcare-grade AI platform that supports clinical, operational, and administrative workflows—without compromising patient privacy or regulatory compliance.</w:t>
      </w:r>
    </w:p>
    <w:p>
      <w:pPr>
        <w:pStyle w:val="Compact"/>
        <w:numPr>
          <w:ilvl w:val="0"/>
          <w:numId w:val="1001"/>
        </w:numPr>
      </w:pPr>
      <w:r>
        <w:t xml:space="preserve">✔ Private, secure deployment</w:t>
      </w:r>
    </w:p>
    <w:p>
      <w:pPr>
        <w:pStyle w:val="Compact"/>
        <w:numPr>
          <w:ilvl w:val="0"/>
          <w:numId w:val="1001"/>
        </w:numPr>
      </w:pPr>
      <w:r>
        <w:t xml:space="preserve">✔ Clinician-in-the-loop AI</w:t>
      </w:r>
    </w:p>
    <w:p>
      <w:pPr>
        <w:pStyle w:val="Compact"/>
        <w:numPr>
          <w:ilvl w:val="0"/>
          <w:numId w:val="1001"/>
        </w:numPr>
      </w:pPr>
      <w:r>
        <w:t xml:space="preserve">✔ Compliance-ready by design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Request a Healthcare Demo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Talk to an AI Specialist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rust-credibility-strip"/>
    <w:p>
      <w:pPr>
        <w:pStyle w:val="Heading2"/>
      </w:pPr>
      <w:r>
        <w:t xml:space="preserve">TRUST &amp; CREDIBILITY STRIP</w:t>
      </w:r>
    </w:p>
    <w:p>
      <w:pPr>
        <w:pStyle w:val="FirstParagraph"/>
      </w:pPr>
      <w:r>
        <w:rPr>
          <w:b/>
          <w:bCs/>
        </w:rPr>
        <w:t xml:space="preserve">Designed for Trust. Engineered for Healthcare.</w:t>
      </w:r>
    </w:p>
    <w:p>
      <w:pPr>
        <w:pStyle w:val="Compact"/>
        <w:numPr>
          <w:ilvl w:val="0"/>
          <w:numId w:val="1002"/>
        </w:numPr>
      </w:pPr>
      <w:r>
        <w:t xml:space="preserve">Healthcare-grade security architecture</w:t>
      </w:r>
    </w:p>
    <w:p>
      <w:pPr>
        <w:pStyle w:val="Compact"/>
        <w:numPr>
          <w:ilvl w:val="0"/>
          <w:numId w:val="1002"/>
        </w:numPr>
      </w:pPr>
      <w:r>
        <w:t xml:space="preserve">Private infrastructure (on‑prem / private cloud)</w:t>
      </w:r>
    </w:p>
    <w:p>
      <w:pPr>
        <w:pStyle w:val="Compact"/>
        <w:numPr>
          <w:ilvl w:val="0"/>
          <w:numId w:val="1002"/>
        </w:numPr>
      </w:pPr>
      <w:r>
        <w:t xml:space="preserve">No public model data exposure</w:t>
      </w:r>
    </w:p>
    <w:p>
      <w:pPr>
        <w:pStyle w:val="Compact"/>
        <w:numPr>
          <w:ilvl w:val="0"/>
          <w:numId w:val="1002"/>
        </w:numPr>
      </w:pPr>
      <w:r>
        <w:t xml:space="preserve">Full auditability and governance</w:t>
      </w:r>
    </w:p>
    <w:p>
      <w:pPr>
        <w:pStyle w:val="Compact"/>
        <w:numPr>
          <w:ilvl w:val="0"/>
          <w:numId w:val="1002"/>
        </w:numPr>
      </w:pPr>
      <w:r>
        <w:t xml:space="preserve">AI that supports clinicians—not replaces them</w:t>
      </w:r>
    </w:p>
    <w:p>
      <w:r>
        <w:pict>
          <v:rect style="width:0;height:1.5pt" o:hralign="center" o:hrstd="t" o:hr="t"/>
        </w:pict>
      </w:r>
    </w:p>
    <w:bookmarkEnd w:id="22"/>
    <w:bookmarkStart w:id="27" w:name="feature-grid-core-capabilities"/>
    <w:p>
      <w:pPr>
        <w:pStyle w:val="Heading2"/>
      </w:pPr>
      <w:r>
        <w:t xml:space="preserve">FEATURE GRID — CORE CAPABILITIES</w:t>
      </w:r>
    </w:p>
    <w:bookmarkStart w:id="23" w:name="clinical-intelligence"/>
    <w:p>
      <w:pPr>
        <w:pStyle w:val="Heading3"/>
      </w:pPr>
      <w:r>
        <w:t xml:space="preserve">🏥 Clinical Intelligence</w:t>
      </w:r>
    </w:p>
    <w:p>
      <w:pPr>
        <w:pStyle w:val="FirstParagraph"/>
      </w:pPr>
      <w:r>
        <w:rPr>
          <w:b/>
          <w:bCs/>
        </w:rPr>
        <w:t xml:space="preserve">Smarter clinical workflows with human oversight</w:t>
      </w:r>
    </w:p>
    <w:p>
      <w:pPr>
        <w:pStyle w:val="Compact"/>
        <w:numPr>
          <w:ilvl w:val="0"/>
          <w:numId w:val="1003"/>
        </w:numPr>
      </w:pPr>
      <w:r>
        <w:t xml:space="preserve">Medical record &amp; EHR summarization</w:t>
      </w:r>
    </w:p>
    <w:p>
      <w:pPr>
        <w:pStyle w:val="Compact"/>
        <w:numPr>
          <w:ilvl w:val="0"/>
          <w:numId w:val="1003"/>
        </w:numPr>
      </w:pPr>
      <w:r>
        <w:t xml:space="preserve">Patient history synthesis</w:t>
      </w:r>
    </w:p>
    <w:p>
      <w:pPr>
        <w:pStyle w:val="Compact"/>
        <w:numPr>
          <w:ilvl w:val="0"/>
          <w:numId w:val="1003"/>
        </w:numPr>
      </w:pPr>
      <w:r>
        <w:t xml:space="preserve">Discharge &amp; handoff summaries</w:t>
      </w:r>
    </w:p>
    <w:p>
      <w:pPr>
        <w:pStyle w:val="Compact"/>
        <w:numPr>
          <w:ilvl w:val="0"/>
          <w:numId w:val="1003"/>
        </w:numPr>
      </w:pPr>
      <w:r>
        <w:t xml:space="preserve">SOAP note &amp; progress note assistance</w:t>
      </w:r>
    </w:p>
    <w:p>
      <w:pPr>
        <w:pStyle w:val="Compact"/>
        <w:numPr>
          <w:ilvl w:val="0"/>
          <w:numId w:val="1003"/>
        </w:numPr>
      </w:pPr>
      <w:r>
        <w:t xml:space="preserve">Clinical guideline referencing</w:t>
      </w:r>
    </w:p>
    <w:p>
      <w:pPr>
        <w:pStyle w:val="Compact"/>
        <w:numPr>
          <w:ilvl w:val="0"/>
          <w:numId w:val="1003"/>
        </w:numPr>
      </w:pPr>
      <w:r>
        <w:t xml:space="preserve">Assistive decision-support insights</w:t>
      </w:r>
    </w:p>
    <w:p>
      <w:r>
        <w:pict>
          <v:rect style="width:0;height:1.5pt" o:hralign="center" o:hrstd="t" o:hr="t"/>
        </w:pict>
      </w:r>
    </w:p>
    <w:bookmarkEnd w:id="23"/>
    <w:bookmarkStart w:id="24" w:name="clinical-documentation-assistance"/>
    <w:p>
      <w:pPr>
        <w:pStyle w:val="Heading3"/>
      </w:pPr>
      <w:r>
        <w:t xml:space="preserve">🧠 Clinical Documentation Assistance</w:t>
      </w:r>
    </w:p>
    <w:p>
      <w:pPr>
        <w:pStyle w:val="FirstParagraph"/>
      </w:pPr>
      <w:r>
        <w:rPr>
          <w:b/>
          <w:bCs/>
        </w:rPr>
        <w:t xml:space="preserve">Reduce documentation burden. Improve care focus.</w:t>
      </w:r>
    </w:p>
    <w:p>
      <w:pPr>
        <w:pStyle w:val="Compact"/>
        <w:numPr>
          <w:ilvl w:val="0"/>
          <w:numId w:val="1004"/>
        </w:numPr>
      </w:pPr>
      <w:r>
        <w:t xml:space="preserve">Visit note drafting support</w:t>
      </w:r>
    </w:p>
    <w:p>
      <w:pPr>
        <w:pStyle w:val="Compact"/>
        <w:numPr>
          <w:ilvl w:val="0"/>
          <w:numId w:val="1004"/>
        </w:numPr>
      </w:pPr>
      <w:r>
        <w:t xml:space="preserve">Structured clinical templates</w:t>
      </w:r>
    </w:p>
    <w:p>
      <w:pPr>
        <w:pStyle w:val="Compact"/>
        <w:numPr>
          <w:ilvl w:val="0"/>
          <w:numId w:val="1004"/>
        </w:numPr>
      </w:pPr>
      <w:r>
        <w:t xml:space="preserve">Chart review acceleration</w:t>
      </w:r>
    </w:p>
    <w:p>
      <w:pPr>
        <w:pStyle w:val="Compact"/>
        <w:numPr>
          <w:ilvl w:val="0"/>
          <w:numId w:val="1004"/>
        </w:numPr>
      </w:pPr>
      <w:r>
        <w:t xml:space="preserve">ICD / CPT coding assistance (non-automated)</w:t>
      </w:r>
    </w:p>
    <w:p>
      <w:pPr>
        <w:pStyle w:val="Compact"/>
        <w:numPr>
          <w:ilvl w:val="0"/>
          <w:numId w:val="1004"/>
        </w:numPr>
      </w:pPr>
      <w:r>
        <w:t xml:space="preserve">Custom documentation styles by department</w:t>
      </w:r>
    </w:p>
    <w:p>
      <w:r>
        <w:pict>
          <v:rect style="width:0;height:1.5pt" o:hralign="center" o:hrstd="t" o:hr="t"/>
        </w:pict>
      </w:r>
    </w:p>
    <w:bookmarkEnd w:id="24"/>
    <w:bookmarkStart w:id="25" w:name="operational-administrative-intelligence"/>
    <w:p>
      <w:pPr>
        <w:pStyle w:val="Heading3"/>
      </w:pPr>
      <w:r>
        <w:t xml:space="preserve">⚙️ Operational &amp; Administrative Intelligence</w:t>
      </w:r>
    </w:p>
    <w:p>
      <w:pPr>
        <w:pStyle w:val="FirstParagraph"/>
      </w:pPr>
      <w:r>
        <w:rPr>
          <w:b/>
          <w:bCs/>
        </w:rPr>
        <w:t xml:space="preserve">AI that improves efficiency across the organization</w:t>
      </w:r>
    </w:p>
    <w:p>
      <w:pPr>
        <w:pStyle w:val="Compact"/>
        <w:numPr>
          <w:ilvl w:val="0"/>
          <w:numId w:val="1005"/>
        </w:numPr>
      </w:pPr>
      <w:r>
        <w:t xml:space="preserve">Workflow optimization insights</w:t>
      </w:r>
    </w:p>
    <w:p>
      <w:pPr>
        <w:pStyle w:val="Compact"/>
        <w:numPr>
          <w:ilvl w:val="0"/>
          <w:numId w:val="1005"/>
        </w:numPr>
      </w:pPr>
      <w:r>
        <w:t xml:space="preserve">Administrative task assistance</w:t>
      </w:r>
    </w:p>
    <w:p>
      <w:pPr>
        <w:pStyle w:val="Compact"/>
        <w:numPr>
          <w:ilvl w:val="0"/>
          <w:numId w:val="1005"/>
        </w:numPr>
      </w:pPr>
      <w:r>
        <w:t xml:space="preserve">Prior authorization drafting support</w:t>
      </w:r>
    </w:p>
    <w:p>
      <w:pPr>
        <w:pStyle w:val="Compact"/>
        <w:numPr>
          <w:ilvl w:val="0"/>
          <w:numId w:val="1005"/>
        </w:numPr>
      </w:pPr>
      <w:r>
        <w:t xml:space="preserve">Revenue cycle &amp; claims insights</w:t>
      </w:r>
    </w:p>
    <w:p>
      <w:pPr>
        <w:pStyle w:val="Compact"/>
        <w:numPr>
          <w:ilvl w:val="0"/>
          <w:numId w:val="1005"/>
        </w:numPr>
      </w:pPr>
      <w:r>
        <w:t xml:space="preserve">Staffing &amp; capacity analysis</w:t>
      </w:r>
    </w:p>
    <w:p>
      <w:pPr>
        <w:pStyle w:val="Compact"/>
        <w:numPr>
          <w:ilvl w:val="0"/>
          <w:numId w:val="1005"/>
        </w:numPr>
      </w:pPr>
      <w:r>
        <w:t xml:space="preserve">Executive summaries for leadership</w:t>
      </w:r>
    </w:p>
    <w:p>
      <w:r>
        <w:pict>
          <v:rect style="width:0;height:1.5pt" o:hralign="center" o:hrstd="t" o:hr="t"/>
        </w:pict>
      </w:r>
    </w:p>
    <w:bookmarkEnd w:id="25"/>
    <w:bookmarkStart w:id="26" w:name="reporting-analytics"/>
    <w:p>
      <w:pPr>
        <w:pStyle w:val="Heading3"/>
      </w:pPr>
      <w:r>
        <w:t xml:space="preserve">📊 Reporting &amp; Analytics</w:t>
      </w:r>
    </w:p>
    <w:p>
      <w:pPr>
        <w:pStyle w:val="FirstParagraph"/>
      </w:pPr>
      <w:r>
        <w:rPr>
          <w:b/>
          <w:bCs/>
        </w:rPr>
        <w:t xml:space="preserve">Turn healthcare data into actionable intelligence</w:t>
      </w:r>
    </w:p>
    <w:p>
      <w:pPr>
        <w:pStyle w:val="Compact"/>
        <w:numPr>
          <w:ilvl w:val="0"/>
          <w:numId w:val="1006"/>
        </w:numPr>
      </w:pPr>
      <w:r>
        <w:t xml:space="preserve">Natural language data queries</w:t>
      </w:r>
    </w:p>
    <w:p>
      <w:pPr>
        <w:pStyle w:val="Compact"/>
        <w:numPr>
          <w:ilvl w:val="0"/>
          <w:numId w:val="1006"/>
        </w:numPr>
      </w:pPr>
      <w:r>
        <w:t xml:space="preserve">Automated reports &amp; dashboards</w:t>
      </w:r>
    </w:p>
    <w:p>
      <w:pPr>
        <w:pStyle w:val="Compact"/>
        <w:numPr>
          <w:ilvl w:val="0"/>
          <w:numId w:val="1006"/>
        </w:numPr>
      </w:pPr>
      <w:r>
        <w:t xml:space="preserve">Quality-of-care metrics</w:t>
      </w:r>
    </w:p>
    <w:p>
      <w:pPr>
        <w:pStyle w:val="Compact"/>
        <w:numPr>
          <w:ilvl w:val="0"/>
          <w:numId w:val="1006"/>
        </w:numPr>
      </w:pPr>
      <w:r>
        <w:t xml:space="preserve">Population health insights</w:t>
      </w:r>
    </w:p>
    <w:p>
      <w:pPr>
        <w:pStyle w:val="Compact"/>
        <w:numPr>
          <w:ilvl w:val="0"/>
          <w:numId w:val="1006"/>
        </w:numPr>
      </w:pPr>
      <w:r>
        <w:t xml:space="preserve">Risk stratification support</w:t>
      </w:r>
    </w:p>
    <w:p>
      <w:pPr>
        <w:pStyle w:val="Compact"/>
        <w:numPr>
          <w:ilvl w:val="0"/>
          <w:numId w:val="1006"/>
        </w:numPr>
      </w:pPr>
      <w:r>
        <w:t xml:space="preserve">Trend analysis &amp; forecasting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curity-compliance-section"/>
    <w:p>
      <w:pPr>
        <w:pStyle w:val="Heading2"/>
      </w:pPr>
      <w:r>
        <w:t xml:space="preserve">SECURITY &amp; COMPLIANCE SECTION</w:t>
      </w:r>
    </w:p>
    <w:bookmarkStart w:id="28" w:name="healthcare-grade-security-by-design"/>
    <w:p>
      <w:pPr>
        <w:pStyle w:val="Heading3"/>
      </w:pPr>
      <w:r>
        <w:t xml:space="preserve">Healthcare-Grade Security by Design</w:t>
      </w:r>
    </w:p>
    <w:p>
      <w:pPr>
        <w:pStyle w:val="FirstParagraph"/>
      </w:pPr>
      <w:r>
        <w:t xml:space="preserve">Security is not optional in healthcare—it’s foundational.</w:t>
      </w:r>
    </w:p>
    <w:p>
      <w:pPr>
        <w:pStyle w:val="BodyText"/>
      </w:pPr>
      <w:r>
        <w:rPr>
          <w:b/>
          <w:bCs/>
        </w:rPr>
        <w:t xml:space="preserve">Security Features</w:t>
      </w:r>
      <w:r>
        <w:t xml:space="preserve"> </w:t>
      </w:r>
      <w:r>
        <w:t xml:space="preserve">- Private AI deployment (on‑prem / private cloud)</w:t>
      </w:r>
      <w:r>
        <w:t xml:space="preserve"> </w:t>
      </w:r>
      <w:r>
        <w:t xml:space="preserve">- End‑to‑end encryption (at rest &amp; in transit)</w:t>
      </w:r>
      <w:r>
        <w:t xml:space="preserve"> </w:t>
      </w:r>
      <w:r>
        <w:t xml:space="preserve">- Role‑based access control (RBAC)</w:t>
      </w:r>
      <w:r>
        <w:t xml:space="preserve"> </w:t>
      </w:r>
      <w:r>
        <w:t xml:space="preserve">- Multi‑factor authentication support</w:t>
      </w:r>
      <w:r>
        <w:t xml:space="preserve"> </w:t>
      </w:r>
      <w:r>
        <w:t xml:space="preserve">- Full audit logs &amp; traceability</w:t>
      </w:r>
      <w:r>
        <w:t xml:space="preserve"> </w:t>
      </w:r>
      <w:r>
        <w:t xml:space="preserve">- Secure APIs &amp; controlled access</w:t>
      </w:r>
    </w:p>
    <w:p>
      <w:pPr>
        <w:pStyle w:val="BodyText"/>
      </w:pPr>
      <w:r>
        <w:rPr>
          <w:b/>
          <w:bCs/>
        </w:rPr>
        <w:t xml:space="preserve">Compliance‑Ready Architecture</w:t>
      </w:r>
      <w:r>
        <w:t xml:space="preserve"> </w:t>
      </w:r>
      <w:r>
        <w:t xml:space="preserve">- HIPAA‑aligned design</w:t>
      </w:r>
      <w:r>
        <w:t xml:space="preserve"> </w:t>
      </w:r>
      <w:r>
        <w:t xml:space="preserve">- GDPR‑ready controls</w:t>
      </w:r>
      <w:r>
        <w:t xml:space="preserve"> </w:t>
      </w:r>
      <w:r>
        <w:t xml:space="preserve">- Data residency enforcement</w:t>
      </w:r>
      <w:r>
        <w:t xml:space="preserve"> </w:t>
      </w:r>
      <w:r>
        <w:t xml:space="preserve">- Configurable data retention policies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eployment-integrations"/>
    <w:p>
      <w:pPr>
        <w:pStyle w:val="Heading2"/>
      </w:pPr>
      <w:r>
        <w:t xml:space="preserve">DEPLOYMENT &amp; INTEGRATIONS</w:t>
      </w:r>
    </w:p>
    <w:bookmarkStart w:id="30" w:name="deploy-ai-on-your-terms"/>
    <w:p>
      <w:pPr>
        <w:pStyle w:val="Heading3"/>
      </w:pPr>
      <w:r>
        <w:t xml:space="preserve">Deploy AI on Your Terms</w:t>
      </w:r>
    </w:p>
    <w:p>
      <w:pPr>
        <w:pStyle w:val="FirstParagraph"/>
      </w:pPr>
      <w:r>
        <w:rPr>
          <w:b/>
          <w:bCs/>
        </w:rPr>
        <w:t xml:space="preserve">Deployment Options</w:t>
      </w:r>
      <w:r>
        <w:t xml:space="preserve"> </w:t>
      </w:r>
      <w:r>
        <w:t xml:space="preserve">- On‑premises</w:t>
      </w:r>
      <w:r>
        <w:t xml:space="preserve"> </w:t>
      </w:r>
      <w:r>
        <w:t xml:space="preserve">- Private cloud</w:t>
      </w:r>
      <w:r>
        <w:t xml:space="preserve"> </w:t>
      </w:r>
      <w:r>
        <w:t xml:space="preserve">- Hybrid environments</w:t>
      </w:r>
    </w:p>
    <w:p>
      <w:pPr>
        <w:pStyle w:val="BodyText"/>
      </w:pPr>
      <w:r>
        <w:rPr>
          <w:b/>
          <w:bCs/>
        </w:rPr>
        <w:t xml:space="preserve">Integration Capabilities</w:t>
      </w:r>
      <w:r>
        <w:t xml:space="preserve"> </w:t>
      </w:r>
      <w:r>
        <w:t xml:space="preserve">- EHR / EMR systems</w:t>
      </w:r>
      <w:r>
        <w:t xml:space="preserve"> </w:t>
      </w:r>
      <w:r>
        <w:t xml:space="preserve">- HL7 &amp; FHIR compatibility</w:t>
      </w:r>
      <w:r>
        <w:t xml:space="preserve"> </w:t>
      </w:r>
      <w:r>
        <w:t xml:space="preserve">- Hospital Information Systems (HIS)</w:t>
      </w:r>
      <w:r>
        <w:t xml:space="preserve"> </w:t>
      </w:r>
      <w:r>
        <w:t xml:space="preserve">- Data warehouses &amp; analytics platforms</w:t>
      </w:r>
      <w:r>
        <w:t xml:space="preserve"> </w:t>
      </w:r>
      <w:r>
        <w:t xml:space="preserve">- Secure APIs &amp; SDKs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ustomization-governance"/>
    <w:p>
      <w:pPr>
        <w:pStyle w:val="Heading2"/>
      </w:pPr>
      <w:r>
        <w:t xml:space="preserve">CUSTOMIZATION &amp; GOVERNANCE</w:t>
      </w:r>
    </w:p>
    <w:bookmarkStart w:id="32" w:name="ai-that-adapts-to-your-institution"/>
    <w:p>
      <w:pPr>
        <w:pStyle w:val="Heading3"/>
      </w:pPr>
      <w:r>
        <w:t xml:space="preserve">AI That Adapts to Your Institution</w:t>
      </w:r>
    </w:p>
    <w:p>
      <w:pPr>
        <w:pStyle w:val="FirstParagraph"/>
      </w:pPr>
      <w:r>
        <w:rPr>
          <w:b/>
          <w:bCs/>
        </w:rPr>
        <w:t xml:space="preserve">Customization</w:t>
      </w:r>
      <w:r>
        <w:t xml:space="preserve"> </w:t>
      </w:r>
      <w:r>
        <w:t xml:space="preserve">- Organization‑specific knowledge bases</w:t>
      </w:r>
      <w:r>
        <w:t xml:space="preserve"> </w:t>
      </w:r>
      <w:r>
        <w:t xml:space="preserve">- Department‑level workflows</w:t>
      </w:r>
      <w:r>
        <w:t xml:space="preserve"> </w:t>
      </w:r>
      <w:r>
        <w:t xml:space="preserve">- Custom prompts &amp; policies</w:t>
      </w:r>
      <w:r>
        <w:t xml:space="preserve"> </w:t>
      </w:r>
      <w:r>
        <w:t xml:space="preserve">- Terminology alignment</w:t>
      </w:r>
    </w:p>
    <w:p>
      <w:pPr>
        <w:pStyle w:val="BodyText"/>
      </w:pPr>
      <w:r>
        <w:rPr>
          <w:b/>
          <w:bCs/>
        </w:rPr>
        <w:t xml:space="preserve">Governance &amp; Oversight</w:t>
      </w:r>
      <w:r>
        <w:t xml:space="preserve"> </w:t>
      </w:r>
      <w:r>
        <w:t xml:space="preserve">- Clinician approval workflows</w:t>
      </w:r>
      <w:r>
        <w:t xml:space="preserve"> </w:t>
      </w:r>
      <w:r>
        <w:t xml:space="preserve">- Model behavior guardrails</w:t>
      </w:r>
      <w:r>
        <w:t xml:space="preserve"> </w:t>
      </w:r>
      <w:r>
        <w:t xml:space="preserve">- Explainability &amp; traceability</w:t>
      </w:r>
      <w:r>
        <w:t xml:space="preserve"> </w:t>
      </w:r>
      <w:r>
        <w:t xml:space="preserve">- Usage monitoring &amp; analytics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o-its-for"/>
    <w:p>
      <w:pPr>
        <w:pStyle w:val="Heading2"/>
      </w:pPr>
      <w:r>
        <w:t xml:space="preserve">WHO IT’S FOR</w:t>
      </w:r>
    </w:p>
    <w:p>
      <w:pPr>
        <w:pStyle w:val="Compact"/>
        <w:numPr>
          <w:ilvl w:val="0"/>
          <w:numId w:val="1007"/>
        </w:numPr>
      </w:pPr>
      <w:r>
        <w:t xml:space="preserve">🏥 Hospitals &amp; Health Systems</w:t>
      </w:r>
    </w:p>
    <w:p>
      <w:pPr>
        <w:pStyle w:val="Compact"/>
        <w:numPr>
          <w:ilvl w:val="0"/>
          <w:numId w:val="1007"/>
        </w:numPr>
      </w:pPr>
      <w:r>
        <w:t xml:space="preserve">🩺 Clinics &amp; Specialty Practices</w:t>
      </w:r>
    </w:p>
    <w:p>
      <w:pPr>
        <w:pStyle w:val="Compact"/>
        <w:numPr>
          <w:ilvl w:val="0"/>
          <w:numId w:val="1007"/>
        </w:numPr>
      </w:pPr>
      <w:r>
        <w:t xml:space="preserve">🧬 Healthcare Enterprises</w:t>
      </w:r>
    </w:p>
    <w:p>
      <w:pPr>
        <w:pStyle w:val="Compact"/>
        <w:numPr>
          <w:ilvl w:val="0"/>
          <w:numId w:val="1007"/>
        </w:numPr>
      </w:pPr>
      <w:r>
        <w:t xml:space="preserve">🧪 Research Institutions</w:t>
      </w:r>
    </w:p>
    <w:p>
      <w:pPr>
        <w:pStyle w:val="Compact"/>
        <w:numPr>
          <w:ilvl w:val="0"/>
          <w:numId w:val="1007"/>
        </w:numPr>
      </w:pPr>
      <w:r>
        <w:t xml:space="preserve">🏢 Payers &amp; Administrators</w:t>
      </w:r>
    </w:p>
    <w:p>
      <w:pPr>
        <w:pStyle w:val="FirstParagraph"/>
      </w:pPr>
      <w:r>
        <w:t xml:space="preserve">Built to scale from single clinics to large healthcare networks.</w:t>
      </w:r>
    </w:p>
    <w:p>
      <w:r>
        <w:pict>
          <v:rect style="width:0;height:1.5pt" o:hralign="center" o:hrstd="t" o:hr="t"/>
        </w:pict>
      </w:r>
    </w:p>
    <w:bookmarkEnd w:id="34"/>
    <w:bookmarkStart w:id="36" w:name="value-proposition-strip"/>
    <w:p>
      <w:pPr>
        <w:pStyle w:val="Heading2"/>
      </w:pPr>
      <w:r>
        <w:t xml:space="preserve">VALUE PROPOSITION STRIP</w:t>
      </w:r>
    </w:p>
    <w:bookmarkStart w:id="35" w:name="Xec3332c17ff719079249388734f88394fde953d"/>
    <w:p>
      <w:pPr>
        <w:pStyle w:val="Heading3"/>
      </w:pPr>
      <w:r>
        <w:t xml:space="preserve">AI That Supports Care — Not Replaces Clinicians</w:t>
      </w:r>
    </w:p>
    <w:p>
      <w:pPr>
        <w:pStyle w:val="Compact"/>
        <w:numPr>
          <w:ilvl w:val="0"/>
          <w:numId w:val="1008"/>
        </w:numPr>
      </w:pPr>
      <w:r>
        <w:t xml:space="preserve">No autonomous clinical decisions</w:t>
      </w:r>
    </w:p>
    <w:p>
      <w:pPr>
        <w:pStyle w:val="Compact"/>
        <w:numPr>
          <w:ilvl w:val="0"/>
          <w:numId w:val="1008"/>
        </w:numPr>
      </w:pPr>
      <w:r>
        <w:t xml:space="preserve">No black‑box recommendations</w:t>
      </w:r>
    </w:p>
    <w:p>
      <w:pPr>
        <w:pStyle w:val="Compact"/>
        <w:numPr>
          <w:ilvl w:val="0"/>
          <w:numId w:val="1008"/>
        </w:numPr>
      </w:pPr>
      <w:r>
        <w:t xml:space="preserve">Full human oversight</w:t>
      </w:r>
    </w:p>
    <w:p>
      <w:pPr>
        <w:pStyle w:val="Compact"/>
        <w:numPr>
          <w:ilvl w:val="0"/>
          <w:numId w:val="1008"/>
        </w:numPr>
      </w:pPr>
      <w:r>
        <w:t xml:space="preserve">Built to augment, not automate care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rimary-cta-section"/>
    <w:p>
      <w:pPr>
        <w:pStyle w:val="Heading2"/>
      </w:pPr>
      <w:r>
        <w:t xml:space="preserve">PRIMARY CTA SECTION</w:t>
      </w:r>
    </w:p>
    <w:bookmarkStart w:id="37" w:name="experience-secure-ai-for-healthcare"/>
    <w:p>
      <w:pPr>
        <w:pStyle w:val="Heading3"/>
      </w:pPr>
      <w:r>
        <w:t xml:space="preserve">Experience Secure AI for Healthcare</w:t>
      </w:r>
    </w:p>
    <w:p>
      <w:pPr>
        <w:pStyle w:val="FirstParagraph"/>
      </w:pPr>
      <w:r>
        <w:t xml:space="preserve">See how CognexiaAiHealthcare can reduce workload, improve efficiency, and maintain compliance—without risking patient trust.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Request a Healthcare Demo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Contact Sales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unified-footer-all-pages"/>
    <w:p>
      <w:pPr>
        <w:pStyle w:val="Heading2"/>
      </w:pPr>
      <w:r>
        <w:t xml:space="preserve">UNIFIED FOOTER (ALL PAGES)</w:t>
      </w:r>
    </w:p>
    <w:bookmarkStart w:id="39" w:name="powered-by-cognexiacloud"/>
    <w:p>
      <w:pPr>
        <w:pStyle w:val="Heading3"/>
      </w:pPr>
      <w:r>
        <w:t xml:space="preserve">Powered by CognexiaCloud</w:t>
      </w:r>
    </w:p>
    <w:p>
      <w:pPr>
        <w:pStyle w:val="FirstParagraph"/>
      </w:pPr>
      <w:r>
        <w:t xml:space="preserve">All Cognexia products run on</w:t>
      </w:r>
      <w:r>
        <w:t xml:space="preserve"> </w:t>
      </w:r>
      <w:r>
        <w:rPr>
          <w:b/>
          <w:bCs/>
        </w:rPr>
        <w:t xml:space="preserve">CognexiaCloud</w:t>
      </w:r>
      <w:r>
        <w:t xml:space="preserve">, ensuring:</w:t>
      </w:r>
    </w:p>
    <w:p>
      <w:pPr>
        <w:pStyle w:val="Compact"/>
        <w:numPr>
          <w:ilvl w:val="0"/>
          <w:numId w:val="1009"/>
        </w:numPr>
      </w:pPr>
      <w:r>
        <w:t xml:space="preserve">🔒 Private infrastructure</w:t>
      </w:r>
    </w:p>
    <w:p>
      <w:pPr>
        <w:pStyle w:val="Compact"/>
        <w:numPr>
          <w:ilvl w:val="0"/>
          <w:numId w:val="1009"/>
        </w:numPr>
      </w:pPr>
      <w:r>
        <w:t xml:space="preserve">🛡️ Unified security framework</w:t>
      </w:r>
    </w:p>
    <w:p>
      <w:pPr>
        <w:pStyle w:val="Compact"/>
        <w:numPr>
          <w:ilvl w:val="0"/>
          <w:numId w:val="1009"/>
        </w:numPr>
      </w:pPr>
      <w:r>
        <w:t xml:space="preserve">📈 Seamless scalability</w:t>
      </w:r>
    </w:p>
    <w:p>
      <w:pPr>
        <w:pStyle w:val="Compact"/>
        <w:numPr>
          <w:ilvl w:val="0"/>
          <w:numId w:val="1009"/>
        </w:numPr>
      </w:pPr>
      <w:r>
        <w:t xml:space="preserve">⚙️ Centralized governance</w:t>
      </w:r>
    </w:p>
    <w:p>
      <w:pPr>
        <w:pStyle w:val="FirstParagraph"/>
      </w:pPr>
      <w:r>
        <w:t xml:space="preserve">CognexiaCloud delivers consistent, secure, enterprise‑ready AI across the healthcare ecosystem.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Cognexia. All rights reserved.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2026-01-28T16:19:30Z</dcterms:created>
  <dcterms:modified xsi:type="dcterms:W3CDTF">2026-01-28T16:19:30Z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