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cognexiaailegal"/>
    <w:p>
      <w:pPr>
        <w:pStyle w:val="Heading1"/>
      </w:pPr>
      <w:r>
        <w:t xml:space="preserve">CognexiaAiLegal</w:t>
      </w:r>
    </w:p>
    <w:bookmarkStart w:id="20" w:name="X281f3799ab8d2955550f12f94c04d550e36340d"/>
    <w:p>
      <w:pPr>
        <w:pStyle w:val="Heading2"/>
      </w:pPr>
      <w:r>
        <w:t xml:space="preserve">AI‑Assisted Legal Intelligence Built for Indian Law</w:t>
      </w:r>
    </w:p>
    <w:p>
      <w:r>
        <w:pict>
          <v:rect style="width:0;height:1.5pt" o:hralign="center" o:hrstd="t" o:hr="t"/>
        </w:pict>
      </w:r>
    </w:p>
    <w:bookmarkEnd w:id="20"/>
    <w:bookmarkStart w:id="22" w:name="hero-section"/>
    <w:p>
      <w:pPr>
        <w:pStyle w:val="Heading2"/>
      </w:pPr>
      <w:r>
        <w:t xml:space="preserve">Hero Section</w:t>
      </w:r>
    </w:p>
    <w:bookmarkStart w:id="21" w:name="Xfaecaaf1f615106ffe4502b82ed7b6f8169238b"/>
    <w:p>
      <w:pPr>
        <w:pStyle w:val="Heading3"/>
      </w:pPr>
      <w:r>
        <w:t xml:space="preserve">Legal Intelligence. Built for Indian Law.</w:t>
      </w:r>
    </w:p>
    <w:p>
      <w:pPr>
        <w:pStyle w:val="FirstParagraph"/>
      </w:pPr>
      <w:r>
        <w:rPr>
          <w:b/>
          <w:bCs/>
        </w:rPr>
        <w:t xml:space="preserve">CognexiaAiLegal</w:t>
      </w:r>
      <w:r>
        <w:t xml:space="preserve"> </w:t>
      </w:r>
      <w:r>
        <w:t xml:space="preserve">is a professional legal intelligence platform designed exclusively for the Indian legal system. It combines authoritative court data with AI‑assisted research, drafting, contract analysis, and compliance—</w:t>
      </w:r>
      <w:r>
        <w:rPr>
          <w:b/>
          <w:bCs/>
        </w:rPr>
        <w:t xml:space="preserve">always with citations, transparency, and explainability</w:t>
      </w:r>
      <w:r>
        <w:t xml:space="preserve">.</w:t>
      </w:r>
    </w:p>
    <w:p>
      <w:pPr>
        <w:pStyle w:val="BlockText"/>
      </w:pPr>
      <w:r>
        <w:t xml:space="preserve">Not a legal chatbot. A trusted legal intelligence platform.</w:t>
      </w:r>
    </w:p>
    <w:p>
      <w:pPr>
        <w:pStyle w:val="FirstParagraph"/>
      </w:pPr>
      <w:r>
        <w:rPr>
          <w:b/>
          <w:bCs/>
        </w:rPr>
        <w:t xml:space="preserve">Primary CTA:</w:t>
      </w:r>
      <w:r>
        <w:t xml:space="preserve"> </w:t>
      </w:r>
      <w:r>
        <w:t xml:space="preserve">👉 Request a Legal Demo</w:t>
      </w:r>
      <w:r>
        <w:br/>
      </w:r>
      <w:r>
        <w:rPr>
          <w:b/>
          <w:bCs/>
        </w:rPr>
        <w:t xml:space="preserve">Secondary CTA:</w:t>
      </w:r>
      <w:r>
        <w:t xml:space="preserve"> </w:t>
      </w:r>
      <w:r>
        <w:t xml:space="preserve">Explore Capabilities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rust-credibility-strip"/>
    <w:p>
      <w:pPr>
        <w:pStyle w:val="Heading2"/>
      </w:pPr>
      <w:r>
        <w:t xml:space="preserve">Trust &amp; Credibility Strip</w:t>
      </w:r>
    </w:p>
    <w:p>
      <w:pPr>
        <w:pStyle w:val="FirstParagraph"/>
      </w:pPr>
      <w:r>
        <w:rPr>
          <w:b/>
          <w:bCs/>
        </w:rPr>
        <w:t xml:space="preserve">Built on Trust. Designed for Legal Professionals.</w:t>
      </w:r>
    </w:p>
    <w:p>
      <w:pPr>
        <w:pStyle w:val="Compact"/>
        <w:numPr>
          <w:ilvl w:val="0"/>
          <w:numId w:val="1001"/>
        </w:numPr>
      </w:pPr>
      <w:r>
        <w:t xml:space="preserve">Authoritative Indian legal sources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Citation‑backed answers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Explainable AI reasoning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Private, secure &amp; auditable</w:t>
      </w:r>
    </w:p>
    <w:p>
      <w:r>
        <w:pict>
          <v:rect style="width:0;height:1.5pt" o:hralign="center" o:hrstd="t" o:hr="t"/>
        </w:pict>
      </w:r>
    </w:p>
    <w:bookmarkEnd w:id="23"/>
    <w:bookmarkStart w:id="24" w:name="the-problem-we-solve"/>
    <w:p>
      <w:pPr>
        <w:pStyle w:val="Heading2"/>
      </w:pPr>
      <w:r>
        <w:t xml:space="preserve">The Problem We Solve</w:t>
      </w:r>
    </w:p>
    <w:p>
      <w:pPr>
        <w:pStyle w:val="FirstParagraph"/>
      </w:pPr>
      <w:r>
        <w:t xml:space="preserve">Legal professionals in India face fragmented data, time‑intensive research, manual drafting, and rapidly changing compliance obligations. Generic AI tools lack jurisdictional depth, citations, and accountability.</w:t>
      </w:r>
    </w:p>
    <w:p>
      <w:pPr>
        <w:pStyle w:val="BodyText"/>
      </w:pPr>
      <w:r>
        <w:rPr>
          <w:b/>
          <w:bCs/>
        </w:rPr>
        <w:t xml:space="preserve">CognexiaAiLegal bridges this gap</w:t>
      </w:r>
      <w:r>
        <w:t xml:space="preserve"> </w:t>
      </w:r>
      <w:r>
        <w:t xml:space="preserve">by delivering AI‑assisted intelligence grounded in Indian law—without compromising professional judgment.</w:t>
      </w:r>
    </w:p>
    <w:p>
      <w:r>
        <w:pict>
          <v:rect style="width:0;height:1.5pt" o:hralign="center" o:hrstd="t" o:hr="t"/>
        </w:pict>
      </w:r>
    </w:p>
    <w:bookmarkEnd w:id="24"/>
    <w:bookmarkStart w:id="29" w:name="core-capabilities"/>
    <w:p>
      <w:pPr>
        <w:pStyle w:val="Heading2"/>
      </w:pPr>
      <w:r>
        <w:t xml:space="preserve">Core Capabilities</w:t>
      </w:r>
    </w:p>
    <w:p>
      <w:pPr>
        <w:pStyle w:val="FirstParagraph"/>
      </w:pPr>
      <w:r>
        <w:t xml:space="preserve">CognexiaAiLegal delivers a comprehensive suite of AI-assisted legal intelligence features designed for real-world Indian legal workflows.</w:t>
      </w:r>
    </w:p>
    <w:bookmarkStart w:id="25" w:name="legal-research"/>
    <w:p>
      <w:pPr>
        <w:pStyle w:val="Heading3"/>
      </w:pPr>
      <w:r>
        <w:t xml:space="preserve">⚖️ Legal Research</w:t>
      </w:r>
    </w:p>
    <w:p>
      <w:pPr>
        <w:pStyle w:val="FirstParagraph"/>
      </w:pPr>
      <w:r>
        <w:t xml:space="preserve">Conduct faster, deeper, and more reliable legal research across Indian jurisprudence.</w:t>
      </w:r>
    </w:p>
    <w:p>
      <w:pPr>
        <w:pStyle w:val="BodyText"/>
      </w:pPr>
      <w:r>
        <w:rPr>
          <w:b/>
          <w:bCs/>
        </w:rPr>
        <w:t xml:space="preserve">What You Get</w:t>
      </w:r>
      <w:r>
        <w:t xml:space="preserve"> </w:t>
      </w:r>
      <w:r>
        <w:t xml:space="preserve">- Supreme Court &amp; High Court judgments</w:t>
      </w:r>
      <w:r>
        <w:t xml:space="preserve"> </w:t>
      </w:r>
      <w:r>
        <w:t xml:space="preserve">- Tribunal decisions (NCLT, NCLAT, ITAT, SAT &amp; more)</w:t>
      </w:r>
      <w:r>
        <w:t xml:space="preserve"> </w:t>
      </w:r>
      <w:r>
        <w:t xml:space="preserve">- Statutes, rules, and regulations</w:t>
      </w:r>
      <w:r>
        <w:t xml:space="preserve"> </w:t>
      </w:r>
      <w:r>
        <w:t xml:space="preserve">- Citation‑backed legal Q&amp;A</w:t>
      </w:r>
      <w:r>
        <w:t xml:space="preserve"> </w:t>
      </w:r>
      <w:r>
        <w:t xml:space="preserve">- Case summaries with ratio decidendi and key holdings</w:t>
      </w:r>
    </w:p>
    <w:p>
      <w:pPr>
        <w:pStyle w:val="BodyText"/>
      </w:pPr>
      <w:r>
        <w:rPr>
          <w:b/>
          <w:bCs/>
        </w:rPr>
        <w:t xml:space="preserve">Value:</w:t>
      </w:r>
      <w:r>
        <w:t xml:space="preserve"> </w:t>
      </w:r>
      <w:r>
        <w:t xml:space="preserve">Reduce research time while increasing legal confidence.</w:t>
      </w:r>
    </w:p>
    <w:p>
      <w:r>
        <w:pict>
          <v:rect style="width:0;height:1.5pt" o:hralign="center" o:hrstd="t" o:hr="t"/>
        </w:pict>
      </w:r>
    </w:p>
    <w:bookmarkEnd w:id="25"/>
    <w:bookmarkStart w:id="26" w:name="legal-drafting"/>
    <w:p>
      <w:pPr>
        <w:pStyle w:val="Heading3"/>
      </w:pPr>
      <w:r>
        <w:t xml:space="preserve">📝 Legal Drafting</w:t>
      </w:r>
    </w:p>
    <w:p>
      <w:pPr>
        <w:pStyle w:val="FirstParagraph"/>
      </w:pPr>
      <w:r>
        <w:t xml:space="preserve">AI‑assisted drafting aligned with Indian law and professional standards.</w:t>
      </w:r>
    </w:p>
    <w:p>
      <w:pPr>
        <w:pStyle w:val="BodyText"/>
      </w:pPr>
      <w:r>
        <w:rPr>
          <w:b/>
          <w:bCs/>
        </w:rPr>
        <w:t xml:space="preserve">What You Get</w:t>
      </w:r>
      <w:r>
        <w:t xml:space="preserve"> </w:t>
      </w:r>
      <w:r>
        <w:t xml:space="preserve">- Indian law‑based templates (agreements, notices, petitions, policies)</w:t>
      </w:r>
      <w:r>
        <w:t xml:space="preserve"> </w:t>
      </w:r>
      <w:r>
        <w:t xml:space="preserve">- Clause‑level drafting and refinement</w:t>
      </w:r>
      <w:r>
        <w:t xml:space="preserve"> </w:t>
      </w:r>
      <w:r>
        <w:t xml:space="preserve">- Built‑in risk and compliance checks</w:t>
      </w:r>
      <w:r>
        <w:t xml:space="preserve"> </w:t>
      </w:r>
      <w:r>
        <w:t xml:space="preserve">- Human‑in‑the‑loop review</w:t>
      </w:r>
    </w:p>
    <w:p>
      <w:pPr>
        <w:pStyle w:val="BodyText"/>
      </w:pPr>
      <w:r>
        <w:rPr>
          <w:b/>
          <w:bCs/>
        </w:rPr>
        <w:t xml:space="preserve">Value:</w:t>
      </w:r>
      <w:r>
        <w:t xml:space="preserve"> </w:t>
      </w:r>
      <w:r>
        <w:t xml:space="preserve">Draft faster while retaining full legal control.</w:t>
      </w:r>
    </w:p>
    <w:p>
      <w:r>
        <w:pict>
          <v:rect style="width:0;height:1.5pt" o:hralign="center" o:hrstd="t" o:hr="t"/>
        </w:pict>
      </w:r>
    </w:p>
    <w:bookmarkEnd w:id="26"/>
    <w:bookmarkStart w:id="27" w:name="contract-intelligence"/>
    <w:p>
      <w:pPr>
        <w:pStyle w:val="Heading3"/>
      </w:pPr>
      <w:r>
        <w:t xml:space="preserve">📄 Contract Intelligence</w:t>
      </w:r>
    </w:p>
    <w:p>
      <w:pPr>
        <w:pStyle w:val="FirstParagraph"/>
      </w:pPr>
      <w:r>
        <w:t xml:space="preserve">See beyond the surface of your contracts.</w:t>
      </w:r>
    </w:p>
    <w:p>
      <w:pPr>
        <w:pStyle w:val="BodyText"/>
      </w:pPr>
      <w:r>
        <w:rPr>
          <w:b/>
          <w:bCs/>
        </w:rPr>
        <w:t xml:space="preserve">What You Get</w:t>
      </w:r>
      <w:r>
        <w:t xml:space="preserve"> </w:t>
      </w:r>
      <w:r>
        <w:t xml:space="preserve">- Automated clause identification</w:t>
      </w:r>
      <w:r>
        <w:t xml:space="preserve"> </w:t>
      </w:r>
      <w:r>
        <w:t xml:space="preserve">- Risk scoring based on Indian legal norms</w:t>
      </w:r>
      <w:r>
        <w:t xml:space="preserve"> </w:t>
      </w:r>
      <w:r>
        <w:t xml:space="preserve">- Obligation, liability, and deadline extraction</w:t>
      </w:r>
      <w:r>
        <w:t xml:space="preserve"> </w:t>
      </w:r>
      <w:r>
        <w:t xml:space="preserve">- Deviation analysis against standard playbooks</w:t>
      </w:r>
    </w:p>
    <w:p>
      <w:pPr>
        <w:pStyle w:val="BodyText"/>
      </w:pPr>
      <w:r>
        <w:rPr>
          <w:b/>
          <w:bCs/>
        </w:rPr>
        <w:t xml:space="preserve">Value:</w:t>
      </w:r>
      <w:r>
        <w:t xml:space="preserve"> </w:t>
      </w:r>
      <w:r>
        <w:t xml:space="preserve">Identify risks early and strengthen contract governance.</w:t>
      </w:r>
    </w:p>
    <w:p>
      <w:r>
        <w:pict>
          <v:rect style="width:0;height:1.5pt" o:hralign="center" o:hrstd="t" o:hr="t"/>
        </w:pict>
      </w:r>
    </w:p>
    <w:bookmarkEnd w:id="27"/>
    <w:bookmarkStart w:id="28" w:name="compliance-intelligence"/>
    <w:p>
      <w:pPr>
        <w:pStyle w:val="Heading3"/>
      </w:pPr>
      <w:r>
        <w:t xml:space="preserve">🛡️ Compliance Intelligence</w:t>
      </w:r>
    </w:p>
    <w:p>
      <w:pPr>
        <w:pStyle w:val="FirstParagraph"/>
      </w:pPr>
      <w:r>
        <w:t xml:space="preserve">Proactive compliance for India’s evolving regulatory environment.</w:t>
      </w:r>
    </w:p>
    <w:p>
      <w:pPr>
        <w:pStyle w:val="BodyText"/>
      </w:pPr>
      <w:r>
        <w:rPr>
          <w:b/>
          <w:bCs/>
        </w:rPr>
        <w:t xml:space="preserve">Coverage Includes</w:t>
      </w:r>
      <w:r>
        <w:t xml:space="preserve"> </w:t>
      </w:r>
      <w:r>
        <w:t xml:space="preserve">- Companies Act, 2013</w:t>
      </w:r>
      <w:r>
        <w:t xml:space="preserve"> </w:t>
      </w:r>
      <w:r>
        <w:t xml:space="preserve">- Digital Personal Data Protection Act (DPDP)</w:t>
      </w:r>
      <w:r>
        <w:t xml:space="preserve"> </w:t>
      </w:r>
      <w:r>
        <w:t xml:space="preserve">- Information Technology Act</w:t>
      </w:r>
      <w:r>
        <w:t xml:space="preserve"> </w:t>
      </w:r>
      <w:r>
        <w:t xml:space="preserve">- SEBI, RBI, MCA regulations</w:t>
      </w:r>
    </w:p>
    <w:p>
      <w:pPr>
        <w:pStyle w:val="BodyText"/>
      </w:pPr>
      <w:r>
        <w:rPr>
          <w:b/>
          <w:bCs/>
        </w:rPr>
        <w:t xml:space="preserve">What You Get</w:t>
      </w:r>
      <w:r>
        <w:t xml:space="preserve"> </w:t>
      </w:r>
      <w:r>
        <w:t xml:space="preserve">- Applicability and regulatory mapping</w:t>
      </w:r>
      <w:r>
        <w:t xml:space="preserve"> </w:t>
      </w:r>
      <w:r>
        <w:t xml:space="preserve">- Gap analysis and compliance scoring</w:t>
      </w:r>
      <w:r>
        <w:t xml:space="preserve"> </w:t>
      </w:r>
      <w:r>
        <w:t xml:space="preserve">- Regulatory change alerts</w:t>
      </w:r>
      <w:r>
        <w:t xml:space="preserve"> </w:t>
      </w:r>
      <w:r>
        <w:t xml:space="preserve">- Audit‑ready compliance reports</w:t>
      </w:r>
    </w:p>
    <w:p>
      <w:pPr>
        <w:pStyle w:val="BodyText"/>
      </w:pPr>
      <w:r>
        <w:rPr>
          <w:b/>
          <w:bCs/>
        </w:rPr>
        <w:t xml:space="preserve">Value:</w:t>
      </w:r>
      <w:r>
        <w:t xml:space="preserve"> </w:t>
      </w:r>
      <w:r>
        <w:t xml:space="preserve">Move from reactive to proactive compliance management.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advanced-advocate-professional-features"/>
    <w:p>
      <w:pPr>
        <w:pStyle w:val="Heading2"/>
      </w:pPr>
      <w:r>
        <w:t xml:space="preserve">Advanced Advocate &amp; Professional Features</w:t>
      </w:r>
    </w:p>
    <w:p>
      <w:pPr>
        <w:pStyle w:val="FirstParagraph"/>
      </w:pPr>
      <w:r>
        <w:t xml:space="preserve">CognexiaAiLegal includes a robust set of practitioner-focused capabilities designed specifically for advocates, litigators, senior counsel, and legal professionals operating in Indian courts.</w:t>
      </w:r>
    </w:p>
    <w:p>
      <w:r>
        <w:pict>
          <v:rect style="width:0;height:1.5pt" o:hralign="center" o:hrstd="t" o:hr="t"/>
        </w:pict>
      </w:r>
    </w:p>
    <w:bookmarkStart w:id="30" w:name="courtroom-advocacy-intelligence"/>
    <w:p>
      <w:pPr>
        <w:pStyle w:val="Heading3"/>
      </w:pPr>
      <w:r>
        <w:t xml:space="preserve">🏛️ Courtroom &amp; Advocacy Intelligence</w:t>
      </w:r>
    </w:p>
    <w:p>
      <w:pPr>
        <w:pStyle w:val="FirstParagraph"/>
      </w:pPr>
      <w:r>
        <w:t xml:space="preserve">Support day-to-day advocacy and courtroom preparation.</w:t>
      </w:r>
    </w:p>
    <w:p>
      <w:pPr>
        <w:pStyle w:val="BodyText"/>
      </w:pPr>
      <w:r>
        <w:rPr>
          <w:b/>
          <w:bCs/>
        </w:rPr>
        <w:t xml:space="preserve">What You Get</w:t>
      </w:r>
      <w:r>
        <w:t xml:space="preserve"> </w:t>
      </w:r>
      <w:r>
        <w:t xml:space="preserve">- Case brief generation (facts, issues, arguments, holdings)</w:t>
      </w:r>
      <w:r>
        <w:t xml:space="preserve"> </w:t>
      </w:r>
      <w:r>
        <w:t xml:space="preserve">- Argument structuring aligned with Indian pleadings and practice</w:t>
      </w:r>
      <w:r>
        <w:t xml:space="preserve"> </w:t>
      </w:r>
      <w:r>
        <w:t xml:space="preserve">- Precedent strength analysis (binding vs persuasive authority)</w:t>
      </w:r>
      <w:r>
        <w:t xml:space="preserve"> </w:t>
      </w:r>
      <w:r>
        <w:t xml:space="preserve">- Bench-specific preference insights (where legally permissible)</w:t>
      </w:r>
    </w:p>
    <w:p>
      <w:pPr>
        <w:pStyle w:val="BodyText"/>
      </w:pPr>
      <w:r>
        <w:rPr>
          <w:b/>
          <w:bCs/>
        </w:rPr>
        <w:t xml:space="preserve">Value:</w:t>
      </w:r>
      <w:r>
        <w:t xml:space="preserve"> </w:t>
      </w:r>
      <w:r>
        <w:t xml:space="preserve">Stronger arguments, better preparedness, and improved court performance.</w:t>
      </w:r>
    </w:p>
    <w:p>
      <w:r>
        <w:pict>
          <v:rect style="width:0;height:1.5pt" o:hralign="center" o:hrstd="t" o:hr="t"/>
        </w:pict>
      </w:r>
    </w:p>
    <w:bookmarkEnd w:id="30"/>
    <w:bookmarkStart w:id="31" w:name="precedent-discovery-strategy-builder"/>
    <w:p>
      <w:pPr>
        <w:pStyle w:val="Heading3"/>
      </w:pPr>
      <w:r>
        <w:t xml:space="preserve">📚 Precedent Discovery &amp; Strategy Builder</w:t>
      </w:r>
    </w:p>
    <w:p>
      <w:pPr>
        <w:pStyle w:val="FirstParagraph"/>
      </w:pPr>
      <w:r>
        <w:t xml:space="preserve">Identify the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precedents—not just more precedents.</w:t>
      </w:r>
    </w:p>
    <w:p>
      <w:pPr>
        <w:pStyle w:val="BodyText"/>
      </w:pPr>
      <w:r>
        <w:rPr>
          <w:b/>
          <w:bCs/>
        </w:rPr>
        <w:t xml:space="preserve">What You Get</w:t>
      </w:r>
      <w:r>
        <w:t xml:space="preserve"> </w:t>
      </w:r>
      <w:r>
        <w:t xml:space="preserve">- Issue-based precedent clustering</w:t>
      </w:r>
      <w:r>
        <w:t xml:space="preserve"> </w:t>
      </w:r>
      <w:r>
        <w:t xml:space="preserve">- Favorable vs unfavorable case identification</w:t>
      </w:r>
      <w:r>
        <w:t xml:space="preserve"> </w:t>
      </w:r>
      <w:r>
        <w:t xml:space="preserve">- Overruled / distinguished / followed case tracking</w:t>
      </w:r>
      <w:r>
        <w:t xml:space="preserve"> </w:t>
      </w:r>
      <w:r>
        <w:t xml:space="preserve">- Precedent comparison and argument mapping</w:t>
      </w:r>
    </w:p>
    <w:p>
      <w:pPr>
        <w:pStyle w:val="BodyText"/>
      </w:pPr>
      <w:r>
        <w:rPr>
          <w:b/>
          <w:bCs/>
        </w:rPr>
        <w:t xml:space="preserve">Value:</w:t>
      </w:r>
      <w:r>
        <w:t xml:space="preserve"> </w:t>
      </w:r>
      <w:r>
        <w:t xml:space="preserve">Build litigation strategy grounded in precedent hierarchy.</w:t>
      </w:r>
    </w:p>
    <w:p>
      <w:r>
        <w:pict>
          <v:rect style="width:0;height:1.5pt" o:hralign="center" o:hrstd="t" o:hr="t"/>
        </w:pict>
      </w:r>
    </w:p>
    <w:bookmarkEnd w:id="31"/>
    <w:bookmarkStart w:id="32" w:name="pleading-petition-brief-drafting"/>
    <w:p>
      <w:pPr>
        <w:pStyle w:val="Heading3"/>
      </w:pPr>
      <w:r>
        <w:t xml:space="preserve">🧾 Pleading, Petition &amp; Brief Drafting</w:t>
      </w:r>
    </w:p>
    <w:p>
      <w:pPr>
        <w:pStyle w:val="FirstParagraph"/>
      </w:pPr>
      <w:r>
        <w:t xml:space="preserve">Draft court-ready documents with AI assistance aligned to Indian procedure.</w:t>
      </w:r>
    </w:p>
    <w:p>
      <w:pPr>
        <w:pStyle w:val="BodyText"/>
      </w:pPr>
      <w:r>
        <w:rPr>
          <w:b/>
          <w:bCs/>
        </w:rPr>
        <w:t xml:space="preserve">What You Get</w:t>
      </w:r>
      <w:r>
        <w:t xml:space="preserve"> </w:t>
      </w:r>
      <w:r>
        <w:t xml:space="preserve">- Petitions, plaints, written statements, rejoinders, and affidavits</w:t>
      </w:r>
      <w:r>
        <w:t xml:space="preserve"> </w:t>
      </w:r>
      <w:r>
        <w:t xml:space="preserve">- Procedural compliance checks (CPC, CrPC, writ practice)</w:t>
      </w:r>
      <w:r>
        <w:t xml:space="preserve"> </w:t>
      </w:r>
      <w:r>
        <w:t xml:space="preserve">- Formatting aligned with Indian court standards</w:t>
      </w:r>
      <w:r>
        <w:t xml:space="preserve"> </w:t>
      </w:r>
      <w:r>
        <w:t xml:space="preserve">- Citation-aware drafting</w:t>
      </w:r>
    </w:p>
    <w:p>
      <w:pPr>
        <w:pStyle w:val="BodyText"/>
      </w:pPr>
      <w:r>
        <w:rPr>
          <w:b/>
          <w:bCs/>
        </w:rPr>
        <w:t xml:space="preserve">Value:</w:t>
      </w:r>
      <w:r>
        <w:t xml:space="preserve"> </w:t>
      </w:r>
      <w:r>
        <w:t xml:space="preserve">Reduce drafting time while maintaining procedural accuracy.</w:t>
      </w:r>
    </w:p>
    <w:p>
      <w:r>
        <w:pict>
          <v:rect style="width:0;height:1.5pt" o:hralign="center" o:hrstd="t" o:hr="t"/>
        </w:pict>
      </w:r>
    </w:p>
    <w:bookmarkEnd w:id="32"/>
    <w:bookmarkStart w:id="33" w:name="case-cause-list-management"/>
    <w:p>
      <w:pPr>
        <w:pStyle w:val="Heading3"/>
      </w:pPr>
      <w:r>
        <w:t xml:space="preserve">⏱️ Case &amp; Cause List Management</w:t>
      </w:r>
    </w:p>
    <w:p>
      <w:pPr>
        <w:pStyle w:val="FirstParagraph"/>
      </w:pPr>
      <w:r>
        <w:t xml:space="preserve">Stay on top of hearings and filings.</w:t>
      </w:r>
    </w:p>
    <w:p>
      <w:pPr>
        <w:pStyle w:val="BodyText"/>
      </w:pPr>
      <w:r>
        <w:rPr>
          <w:b/>
          <w:bCs/>
        </w:rPr>
        <w:t xml:space="preserve">What You Get</w:t>
      </w:r>
      <w:r>
        <w:t xml:space="preserve"> </w:t>
      </w:r>
      <w:r>
        <w:t xml:space="preserve">- Cause list tracking (court-wise, advocate-wise)</w:t>
      </w:r>
      <w:r>
        <w:t xml:space="preserve"> </w:t>
      </w:r>
      <w:r>
        <w:t xml:space="preserve">- Hearing reminders and deadline alerts</w:t>
      </w:r>
      <w:r>
        <w:t xml:space="preserve"> </w:t>
      </w:r>
      <w:r>
        <w:t xml:space="preserve">- Case status monitoring</w:t>
      </w:r>
      <w:r>
        <w:t xml:space="preserve"> </w:t>
      </w:r>
      <w:r>
        <w:t xml:space="preserve">- Filing and compliance checklists</w:t>
      </w:r>
    </w:p>
    <w:p>
      <w:pPr>
        <w:pStyle w:val="BodyText"/>
      </w:pPr>
      <w:r>
        <w:rPr>
          <w:b/>
          <w:bCs/>
        </w:rPr>
        <w:t xml:space="preserve">Value:</w:t>
      </w:r>
      <w:r>
        <w:t xml:space="preserve"> </w:t>
      </w:r>
      <w:r>
        <w:t xml:space="preserve">Never miss a date or procedural requirement.</w:t>
      </w:r>
    </w:p>
    <w:p>
      <w:r>
        <w:pict>
          <v:rect style="width:0;height:1.5pt" o:hralign="center" o:hrstd="t" o:hr="t"/>
        </w:pict>
      </w:r>
    </w:p>
    <w:bookmarkEnd w:id="33"/>
    <w:bookmarkStart w:id="34" w:name="senior-counsel-chamber-support"/>
    <w:p>
      <w:pPr>
        <w:pStyle w:val="Heading3"/>
      </w:pPr>
      <w:r>
        <w:t xml:space="preserve">🧑‍⚖️ Senior Counsel &amp; Chamber Support</w:t>
      </w:r>
    </w:p>
    <w:p>
      <w:pPr>
        <w:pStyle w:val="FirstParagraph"/>
      </w:pPr>
      <w:r>
        <w:t xml:space="preserve">Designed for senior advocates and chambers.</w:t>
      </w:r>
    </w:p>
    <w:p>
      <w:pPr>
        <w:pStyle w:val="BodyText"/>
      </w:pPr>
      <w:r>
        <w:rPr>
          <w:b/>
          <w:bCs/>
        </w:rPr>
        <w:t xml:space="preserve">What You Get</w:t>
      </w:r>
      <w:r>
        <w:t xml:space="preserve"> </w:t>
      </w:r>
      <w:r>
        <w:t xml:space="preserve">- Brief digestion and summarization for senior counsel</w:t>
      </w:r>
      <w:r>
        <w:t xml:space="preserve"> </w:t>
      </w:r>
      <w:r>
        <w:t xml:space="preserve">- Issue-focused notes for oral arguments</w:t>
      </w:r>
      <w:r>
        <w:t xml:space="preserve"> </w:t>
      </w:r>
      <w:r>
        <w:t xml:space="preserve">- Secure collaboration with juniors</w:t>
      </w:r>
      <w:r>
        <w:t xml:space="preserve"> </w:t>
      </w:r>
      <w:r>
        <w:t xml:space="preserve">- Private chamber knowledge repositories</w:t>
      </w:r>
    </w:p>
    <w:p>
      <w:pPr>
        <w:pStyle w:val="BodyText"/>
      </w:pPr>
      <w:r>
        <w:rPr>
          <w:b/>
          <w:bCs/>
        </w:rPr>
        <w:t xml:space="preserve">Value:</w:t>
      </w:r>
      <w:r>
        <w:t xml:space="preserve"> </w:t>
      </w:r>
      <w:r>
        <w:t xml:space="preserve">Faster brief review and higher-quality advocacy support.</w:t>
      </w:r>
    </w:p>
    <w:p>
      <w:r>
        <w:pict>
          <v:rect style="width:0;height:1.5pt" o:hralign="center" o:hrstd="t" o:hr="t"/>
        </w:pict>
      </w:r>
    </w:p>
    <w:bookmarkEnd w:id="34"/>
    <w:bookmarkStart w:id="35" w:name="oral-argument-hearing-prep-mode"/>
    <w:p>
      <w:pPr>
        <w:pStyle w:val="Heading3"/>
      </w:pPr>
      <w:r>
        <w:t xml:space="preserve">🧠 Oral Argument &amp; Hearing Prep Mode</w:t>
      </w:r>
    </w:p>
    <w:p>
      <w:pPr>
        <w:pStyle w:val="FirstParagraph"/>
      </w:pPr>
      <w:r>
        <w:t xml:space="preserve">Prepare for hearings with focused intelligence.</w:t>
      </w:r>
    </w:p>
    <w:p>
      <w:pPr>
        <w:pStyle w:val="BodyText"/>
      </w:pPr>
      <w:r>
        <w:rPr>
          <w:b/>
          <w:bCs/>
        </w:rPr>
        <w:t xml:space="preserve">What You Get</w:t>
      </w:r>
      <w:r>
        <w:t xml:space="preserve"> </w:t>
      </w:r>
      <w:r>
        <w:t xml:space="preserve">- Question anticipation based on bench history</w:t>
      </w:r>
      <w:r>
        <w:t xml:space="preserve"> </w:t>
      </w:r>
      <w:r>
        <w:t xml:space="preserve">- Counter-argument simulation</w:t>
      </w:r>
      <w:r>
        <w:t xml:space="preserve"> </w:t>
      </w:r>
      <w:r>
        <w:t xml:space="preserve">- One-click hearing prep packs</w:t>
      </w:r>
      <w:r>
        <w:t xml:space="preserve"> </w:t>
      </w:r>
      <w:r>
        <w:t xml:space="preserve">- Last-minute precedent refresh</w:t>
      </w:r>
    </w:p>
    <w:p>
      <w:pPr>
        <w:pStyle w:val="BodyText"/>
      </w:pPr>
      <w:r>
        <w:rPr>
          <w:b/>
          <w:bCs/>
        </w:rPr>
        <w:t xml:space="preserve">Value:</w:t>
      </w:r>
      <w:r>
        <w:t xml:space="preserve"> </w:t>
      </w:r>
      <w:r>
        <w:t xml:space="preserve">Enter hearings confident and well-prepared.</w:t>
      </w:r>
    </w:p>
    <w:p>
      <w:r>
        <w:pict>
          <v:rect style="width:0;height:1.5pt" o:hralign="center" o:hrstd="t" o:hr="t"/>
        </w:pict>
      </w:r>
    </w:p>
    <w:bookmarkEnd w:id="35"/>
    <w:bookmarkStart w:id="36" w:name="client-matter-intelligence-optional"/>
    <w:p>
      <w:pPr>
        <w:pStyle w:val="Heading3"/>
      </w:pPr>
      <w:r>
        <w:t xml:space="preserve">💼 Client &amp; Matter Intelligence (Optional)</w:t>
      </w:r>
    </w:p>
    <w:p>
      <w:pPr>
        <w:pStyle w:val="FirstParagraph"/>
      </w:pPr>
      <w:r>
        <w:t xml:space="preserve">Manage legal work without replacing existing practice systems.</w:t>
      </w:r>
    </w:p>
    <w:p>
      <w:pPr>
        <w:pStyle w:val="BodyText"/>
      </w:pPr>
      <w:r>
        <w:rPr>
          <w:b/>
          <w:bCs/>
        </w:rPr>
        <w:t xml:space="preserve">What You Get</w:t>
      </w:r>
      <w:r>
        <w:t xml:space="preserve"> </w:t>
      </w:r>
      <w:r>
        <w:t xml:space="preserve">- Client-wise and matter-wise workspaces</w:t>
      </w:r>
      <w:r>
        <w:t xml:space="preserve"> </w:t>
      </w:r>
      <w:r>
        <w:t xml:space="preserve">- Opinion history and advice tracking</w:t>
      </w:r>
      <w:r>
        <w:t xml:space="preserve"> </w:t>
      </w:r>
      <w:r>
        <w:t xml:space="preserve">- Engagement-level confidentiality controls</w:t>
      </w:r>
    </w:p>
    <w:p>
      <w:pPr>
        <w:pStyle w:val="BodyText"/>
      </w:pPr>
      <w:r>
        <w:rPr>
          <w:b/>
          <w:bCs/>
        </w:rPr>
        <w:t xml:space="preserve">Value:</w:t>
      </w:r>
      <w:r>
        <w:t xml:space="preserve"> </w:t>
      </w:r>
      <w:r>
        <w:t xml:space="preserve">Better client service with minimal operational overhead.</w:t>
      </w:r>
    </w:p>
    <w:p>
      <w:r>
        <w:pict>
          <v:rect style="width:0;height:1.5pt" o:hralign="center" o:hrstd="t" o:hr="t"/>
        </w:pict>
      </w:r>
    </w:p>
    <w:bookmarkEnd w:id="36"/>
    <w:bookmarkStart w:id="37" w:name="advocate-productivity-insights"/>
    <w:p>
      <w:pPr>
        <w:pStyle w:val="Heading3"/>
      </w:pPr>
      <w:r>
        <w:t xml:space="preserve">📈 Advocate Productivity &amp; Insights</w:t>
      </w:r>
    </w:p>
    <w:p>
      <w:pPr>
        <w:pStyle w:val="FirstParagraph"/>
      </w:pPr>
      <w:r>
        <w:t xml:space="preserve">Understand how you work—and improve it.</w:t>
      </w:r>
    </w:p>
    <w:p>
      <w:pPr>
        <w:pStyle w:val="BodyText"/>
      </w:pPr>
      <w:r>
        <w:rPr>
          <w:b/>
          <w:bCs/>
        </w:rPr>
        <w:t xml:space="preserve">What You Get</w:t>
      </w:r>
      <w:r>
        <w:t xml:space="preserve"> </w:t>
      </w:r>
      <w:r>
        <w:t xml:space="preserve">- Time spent on research, drafting, and matters</w:t>
      </w:r>
      <w:r>
        <w:t xml:space="preserve"> </w:t>
      </w:r>
      <w:r>
        <w:t xml:space="preserve">- Workload insights across cases</w:t>
      </w:r>
      <w:r>
        <w:t xml:space="preserve"> </w:t>
      </w:r>
      <w:r>
        <w:t xml:space="preserve">- Knowledge reuse analytics</w:t>
      </w:r>
    </w:p>
    <w:p>
      <w:pPr>
        <w:pStyle w:val="BodyText"/>
      </w:pPr>
      <w:r>
        <w:rPr>
          <w:b/>
          <w:bCs/>
        </w:rPr>
        <w:t xml:space="preserve">Value:</w:t>
      </w:r>
      <w:r>
        <w:t xml:space="preserve"> </w:t>
      </w:r>
      <w:r>
        <w:t xml:space="preserve">Improve efficiency without compromising quality.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7" w:name="additional-platform-features"/>
    <w:p>
      <w:pPr>
        <w:pStyle w:val="Heading2"/>
      </w:pPr>
      <w:r>
        <w:t xml:space="preserve">Additional Platform Features</w:t>
      </w:r>
    </w:p>
    <w:bookmarkStart w:id="39" w:name="advanced-case-analytics"/>
    <w:p>
      <w:pPr>
        <w:pStyle w:val="Heading3"/>
      </w:pPr>
      <w:r>
        <w:t xml:space="preserve">🔍 Advanced Case Analytics</w:t>
      </w:r>
    </w:p>
    <w:p>
      <w:pPr>
        <w:pStyle w:val="FirstParagraph"/>
      </w:pPr>
      <w:r>
        <w:t xml:space="preserve">Go beyond search to understand legal trends and outcomes.</w:t>
      </w:r>
    </w:p>
    <w:p>
      <w:pPr>
        <w:pStyle w:val="BodyText"/>
      </w:pPr>
      <w:r>
        <w:rPr>
          <w:b/>
          <w:bCs/>
        </w:rPr>
        <w:t xml:space="preserve">What You Get</w:t>
      </w:r>
      <w:r>
        <w:t xml:space="preserve"> </w:t>
      </w:r>
      <w:r>
        <w:t xml:space="preserve">- Judge-wise and bench-wise decision analysis</w:t>
      </w:r>
      <w:r>
        <w:t xml:space="preserve"> </w:t>
      </w:r>
      <w:r>
        <w:t xml:space="preserve">- Case outcome and disposition trends</w:t>
      </w:r>
      <w:r>
        <w:t xml:space="preserve"> </w:t>
      </w:r>
      <w:r>
        <w:t xml:space="preserve">- Citation network analysis (how cases rely on each other)</w:t>
      </w:r>
      <w:r>
        <w:t xml:space="preserve"> </w:t>
      </w:r>
      <w:r>
        <w:t xml:space="preserve">- Timeline views of litigation history</w:t>
      </w:r>
    </w:p>
    <w:p>
      <w:pPr>
        <w:pStyle w:val="BodyText"/>
      </w:pPr>
      <w:r>
        <w:rPr>
          <w:b/>
          <w:bCs/>
        </w:rPr>
        <w:t xml:space="preserve">Value:</w:t>
      </w:r>
      <w:r>
        <w:t xml:space="preserve"> </w:t>
      </w:r>
      <w:r>
        <w:t xml:space="preserve">Make more informed litigation and strategy decisions.</w:t>
      </w:r>
    </w:p>
    <w:p>
      <w:r>
        <w:pict>
          <v:rect style="width:0;height:1.5pt" o:hralign="center" o:hrstd="t" o:hr="t"/>
        </w:pict>
      </w:r>
    </w:p>
    <w:bookmarkEnd w:id="39"/>
    <w:bookmarkStart w:id="40" w:name="litigation-matter-intelligence"/>
    <w:p>
      <w:pPr>
        <w:pStyle w:val="Heading3"/>
      </w:pPr>
      <w:r>
        <w:t xml:space="preserve">📊 Litigation &amp; Matter Intelligence</w:t>
      </w:r>
    </w:p>
    <w:p>
      <w:pPr>
        <w:pStyle w:val="FirstParagraph"/>
      </w:pPr>
      <w:r>
        <w:t xml:space="preserve">Centralize and contextualize litigation data.</w:t>
      </w:r>
    </w:p>
    <w:p>
      <w:pPr>
        <w:pStyle w:val="BodyText"/>
      </w:pPr>
      <w:r>
        <w:rPr>
          <w:b/>
          <w:bCs/>
        </w:rPr>
        <w:t xml:space="preserve">What You Get</w:t>
      </w:r>
      <w:r>
        <w:t xml:space="preserve"> </w:t>
      </w:r>
      <w:r>
        <w:t xml:space="preserve">- Matter-level dashboards</w:t>
      </w:r>
      <w:r>
        <w:t xml:space="preserve"> </w:t>
      </w:r>
      <w:r>
        <w:t xml:space="preserve">- Key dates, hearings, and procedural milestones</w:t>
      </w:r>
      <w:r>
        <w:t xml:space="preserve"> </w:t>
      </w:r>
      <w:r>
        <w:t xml:space="preserve">- Issue tagging and precedent mapping</w:t>
      </w:r>
      <w:r>
        <w:t xml:space="preserve"> </w:t>
      </w:r>
      <w:r>
        <w:t xml:space="preserve">- Internal notes linked to authoritative sources</w:t>
      </w:r>
    </w:p>
    <w:p>
      <w:pPr>
        <w:pStyle w:val="BodyText"/>
      </w:pPr>
      <w:r>
        <w:rPr>
          <w:b/>
          <w:bCs/>
        </w:rPr>
        <w:t xml:space="preserve">Value:</w:t>
      </w:r>
      <w:r>
        <w:t xml:space="preserve"> </w:t>
      </w:r>
      <w:r>
        <w:t xml:space="preserve">Better litigation oversight and knowledge retention.</w:t>
      </w:r>
    </w:p>
    <w:p>
      <w:r>
        <w:pict>
          <v:rect style="width:0;height:1.5pt" o:hralign="center" o:hrstd="t" o:hr="t"/>
        </w:pict>
      </w:r>
    </w:p>
    <w:bookmarkEnd w:id="40"/>
    <w:bookmarkStart w:id="41" w:name="knowledge-management-for-law-firms-teams"/>
    <w:p>
      <w:pPr>
        <w:pStyle w:val="Heading3"/>
      </w:pPr>
      <w:r>
        <w:t xml:space="preserve">🧠 Knowledge Management for Law Firms &amp; Teams</w:t>
      </w:r>
    </w:p>
    <w:p>
      <w:pPr>
        <w:pStyle w:val="FirstParagraph"/>
      </w:pPr>
      <w:r>
        <w:t xml:space="preserve">Turn institutional knowledge into a strategic asset.</w:t>
      </w:r>
    </w:p>
    <w:p>
      <w:pPr>
        <w:pStyle w:val="BodyText"/>
      </w:pPr>
      <w:r>
        <w:rPr>
          <w:b/>
          <w:bCs/>
        </w:rPr>
        <w:t xml:space="preserve">What You Get</w:t>
      </w:r>
      <w:r>
        <w:t xml:space="preserve"> </w:t>
      </w:r>
      <w:r>
        <w:t xml:space="preserve">- Private firm or enterprise knowledge base</w:t>
      </w:r>
      <w:r>
        <w:t xml:space="preserve"> </w:t>
      </w:r>
      <w:r>
        <w:t xml:space="preserve">- Secure upload of internal memos, opinions, and precedents</w:t>
      </w:r>
      <w:r>
        <w:t xml:space="preserve"> </w:t>
      </w:r>
      <w:r>
        <w:t xml:space="preserve">- AI-assisted search across internal + public Indian law sources</w:t>
      </w:r>
      <w:r>
        <w:t xml:space="preserve"> </w:t>
      </w:r>
      <w:r>
        <w:t xml:space="preserve">- Permission-based access control</w:t>
      </w:r>
    </w:p>
    <w:p>
      <w:pPr>
        <w:pStyle w:val="BodyText"/>
      </w:pPr>
      <w:r>
        <w:rPr>
          <w:b/>
          <w:bCs/>
        </w:rPr>
        <w:t xml:space="preserve">Value:</w:t>
      </w:r>
      <w:r>
        <w:t xml:space="preserve"> </w:t>
      </w:r>
      <w:r>
        <w:t xml:space="preserve">Preserve expertise and reduce dependency on individual knowledge holders.</w:t>
      </w:r>
    </w:p>
    <w:p>
      <w:r>
        <w:pict>
          <v:rect style="width:0;height:1.5pt" o:hralign="center" o:hrstd="t" o:hr="t"/>
        </w:pict>
      </w:r>
    </w:p>
    <w:bookmarkEnd w:id="41"/>
    <w:bookmarkStart w:id="42" w:name="multilingual-vernacular-law-support"/>
    <w:p>
      <w:pPr>
        <w:pStyle w:val="Heading3"/>
      </w:pPr>
      <w:r>
        <w:t xml:space="preserve">🌐 Multilingual &amp; Vernacular Law Support</w:t>
      </w:r>
    </w:p>
    <w:p>
      <w:pPr>
        <w:pStyle w:val="FirstParagraph"/>
      </w:pPr>
      <w:r>
        <w:t xml:space="preserve">Access Indian law beyond English-only materials.</w:t>
      </w:r>
    </w:p>
    <w:p>
      <w:pPr>
        <w:pStyle w:val="BodyText"/>
      </w:pPr>
      <w:r>
        <w:rPr>
          <w:b/>
          <w:bCs/>
        </w:rPr>
        <w:t xml:space="preserve">What You Get</w:t>
      </w:r>
      <w:r>
        <w:t xml:space="preserve"> </w:t>
      </w:r>
      <w:r>
        <w:t xml:space="preserve">- Support for Hindi and regional language judgments (where available)</w:t>
      </w:r>
      <w:r>
        <w:t xml:space="preserve"> </w:t>
      </w:r>
      <w:r>
        <w:t xml:space="preserve">- AI-assisted translation with legal context preservation</w:t>
      </w:r>
      <w:r>
        <w:t xml:space="preserve"> </w:t>
      </w:r>
      <w:r>
        <w:t xml:space="preserve">- Cross-language legal search</w:t>
      </w:r>
    </w:p>
    <w:p>
      <w:pPr>
        <w:pStyle w:val="BodyText"/>
      </w:pPr>
      <w:r>
        <w:rPr>
          <w:b/>
          <w:bCs/>
        </w:rPr>
        <w:t xml:space="preserve">Value:</w:t>
      </w:r>
      <w:r>
        <w:t xml:space="preserve"> </w:t>
      </w:r>
      <w:r>
        <w:t xml:space="preserve">Broader coverage and improved accessibility.</w:t>
      </w:r>
    </w:p>
    <w:p>
      <w:r>
        <w:pict>
          <v:rect style="width:0;height:1.5pt" o:hralign="center" o:hrstd="t" o:hr="t"/>
        </w:pict>
      </w:r>
    </w:p>
    <w:bookmarkEnd w:id="42"/>
    <w:bookmarkStart w:id="43" w:name="policy-regulatory-drafting"/>
    <w:p>
      <w:pPr>
        <w:pStyle w:val="Heading3"/>
      </w:pPr>
      <w:r>
        <w:t xml:space="preserve">📑 Policy &amp; Regulatory Drafting</w:t>
      </w:r>
    </w:p>
    <w:p>
      <w:pPr>
        <w:pStyle w:val="FirstParagraph"/>
      </w:pPr>
      <w:r>
        <w:t xml:space="preserve">Draft internal policies aligned with Indian regulations.</w:t>
      </w:r>
    </w:p>
    <w:p>
      <w:pPr>
        <w:pStyle w:val="BodyText"/>
      </w:pPr>
      <w:r>
        <w:rPr>
          <w:b/>
          <w:bCs/>
        </w:rPr>
        <w:t xml:space="preserve">What You Get</w:t>
      </w:r>
      <w:r>
        <w:t xml:space="preserve"> </w:t>
      </w:r>
      <w:r>
        <w:t xml:space="preserve">- Data protection, IT, HR, and governance policy templates</w:t>
      </w:r>
      <w:r>
        <w:t xml:space="preserve"> </w:t>
      </w:r>
      <w:r>
        <w:t xml:space="preserve">- Regulation-mapped policy drafting</w:t>
      </w:r>
      <w:r>
        <w:t xml:space="preserve"> </w:t>
      </w:r>
      <w:r>
        <w:t xml:space="preserve">- Continuous alignment with regulatory updates</w:t>
      </w:r>
    </w:p>
    <w:p>
      <w:pPr>
        <w:pStyle w:val="BodyText"/>
      </w:pPr>
      <w:r>
        <w:rPr>
          <w:b/>
          <w:bCs/>
        </w:rPr>
        <w:t xml:space="preserve">Value:</w:t>
      </w:r>
      <w:r>
        <w:t xml:space="preserve"> </w:t>
      </w:r>
      <w:r>
        <w:t xml:space="preserve">Faster policy creation with reduced compliance risk.</w:t>
      </w:r>
    </w:p>
    <w:p>
      <w:r>
        <w:pict>
          <v:rect style="width:0;height:1.5pt" o:hralign="center" o:hrstd="t" o:hr="t"/>
        </w:pict>
      </w:r>
    </w:p>
    <w:bookmarkEnd w:id="43"/>
    <w:bookmarkStart w:id="44" w:name="alerts-monitoring"/>
    <w:p>
      <w:pPr>
        <w:pStyle w:val="Heading3"/>
      </w:pPr>
      <w:r>
        <w:t xml:space="preserve">🔔 Alerts &amp; Monitoring</w:t>
      </w:r>
    </w:p>
    <w:p>
      <w:pPr>
        <w:pStyle w:val="FirstParagraph"/>
      </w:pPr>
      <w:r>
        <w:t xml:space="preserve">Never miss a critical legal or regulatory change.</w:t>
      </w:r>
    </w:p>
    <w:p>
      <w:pPr>
        <w:pStyle w:val="BodyText"/>
      </w:pPr>
      <w:r>
        <w:rPr>
          <w:b/>
          <w:bCs/>
        </w:rPr>
        <w:t xml:space="preserve">What You Get</w:t>
      </w:r>
      <w:r>
        <w:t xml:space="preserve"> </w:t>
      </w:r>
      <w:r>
        <w:t xml:space="preserve">- Case tracking and judgment alerts</w:t>
      </w:r>
      <w:r>
        <w:t xml:space="preserve"> </w:t>
      </w:r>
      <w:r>
        <w:t xml:space="preserve">- Regulatory and circular updates</w:t>
      </w:r>
      <w:r>
        <w:t xml:space="preserve"> </w:t>
      </w:r>
      <w:r>
        <w:t xml:space="preserve">- Custom alerts by statute, court, regulator, or topic</w:t>
      </w:r>
    </w:p>
    <w:p>
      <w:pPr>
        <w:pStyle w:val="BodyText"/>
      </w:pPr>
      <w:r>
        <w:rPr>
          <w:b/>
          <w:bCs/>
        </w:rPr>
        <w:t xml:space="preserve">Value:</w:t>
      </w:r>
      <w:r>
        <w:t xml:space="preserve"> </w:t>
      </w:r>
      <w:r>
        <w:t xml:space="preserve">Stay ahead of developments that impact your organization or clients.</w:t>
      </w:r>
    </w:p>
    <w:p>
      <w:r>
        <w:pict>
          <v:rect style="width:0;height:1.5pt" o:hralign="center" o:hrstd="t" o:hr="t"/>
        </w:pict>
      </w:r>
    </w:p>
    <w:bookmarkEnd w:id="44"/>
    <w:bookmarkStart w:id="45" w:name="integrations-workflow-enablement"/>
    <w:p>
      <w:pPr>
        <w:pStyle w:val="Heading3"/>
      </w:pPr>
      <w:r>
        <w:t xml:space="preserve">🔌 Integrations &amp; Workflow Enablement</w:t>
      </w:r>
    </w:p>
    <w:p>
      <w:pPr>
        <w:pStyle w:val="FirstParagraph"/>
      </w:pPr>
      <w:r>
        <w:t xml:space="preserve">Fit seamlessly into existing legal operations.</w:t>
      </w:r>
    </w:p>
    <w:p>
      <w:pPr>
        <w:pStyle w:val="BodyText"/>
      </w:pPr>
      <w:r>
        <w:rPr>
          <w:b/>
          <w:bCs/>
        </w:rPr>
        <w:t xml:space="preserve">What You Get</w:t>
      </w:r>
      <w:r>
        <w:t xml:space="preserve"> </w:t>
      </w:r>
      <w:r>
        <w:t xml:space="preserve">- Document management system compatibility</w:t>
      </w:r>
      <w:r>
        <w:t xml:space="preserve"> </w:t>
      </w:r>
      <w:r>
        <w:t xml:space="preserve">- API access for enterprise integration</w:t>
      </w:r>
      <w:r>
        <w:t xml:space="preserve"> </w:t>
      </w:r>
      <w:r>
        <w:t xml:space="preserve">- Export to Word, PDF, and citation formats</w:t>
      </w:r>
    </w:p>
    <w:p>
      <w:pPr>
        <w:pStyle w:val="BodyText"/>
      </w:pPr>
      <w:r>
        <w:rPr>
          <w:b/>
          <w:bCs/>
        </w:rPr>
        <w:t xml:space="preserve">Value:</w:t>
      </w:r>
      <w:r>
        <w:t xml:space="preserve"> </w:t>
      </w:r>
      <w:r>
        <w:t xml:space="preserve">Reduce friction and improve adoption across teams.</w:t>
      </w:r>
    </w:p>
    <w:p>
      <w:r>
        <w:pict>
          <v:rect style="width:0;height:1.5pt" o:hralign="center" o:hrstd="t" o:hr="t"/>
        </w:pict>
      </w:r>
    </w:p>
    <w:bookmarkEnd w:id="45"/>
    <w:bookmarkStart w:id="46" w:name="analytics-reporting-audit-readiness"/>
    <w:p>
      <w:pPr>
        <w:pStyle w:val="Heading3"/>
      </w:pPr>
      <w:r>
        <w:t xml:space="preserve">📈 Analytics, Reporting &amp; Audit Readiness</w:t>
      </w:r>
    </w:p>
    <w:p>
      <w:pPr>
        <w:pStyle w:val="FirstParagraph"/>
      </w:pPr>
      <w:r>
        <w:t xml:space="preserve">Demonstrate control, compliance, and performance.</w:t>
      </w:r>
    </w:p>
    <w:p>
      <w:pPr>
        <w:pStyle w:val="BodyText"/>
      </w:pPr>
      <w:r>
        <w:rPr>
          <w:b/>
          <w:bCs/>
        </w:rPr>
        <w:t xml:space="preserve">What You Get</w:t>
      </w:r>
      <w:r>
        <w:t xml:space="preserve"> </w:t>
      </w:r>
      <w:r>
        <w:t xml:space="preserve">- Usage analytics and activity logs</w:t>
      </w:r>
      <w:r>
        <w:t xml:space="preserve"> </w:t>
      </w:r>
      <w:r>
        <w:t xml:space="preserve">- Compliance and risk reports</w:t>
      </w:r>
      <w:r>
        <w:t xml:space="preserve"> </w:t>
      </w:r>
      <w:r>
        <w:t xml:space="preserve">- Audit-ready documentation trails</w:t>
      </w:r>
    </w:p>
    <w:p>
      <w:pPr>
        <w:pStyle w:val="BodyText"/>
      </w:pPr>
      <w:r>
        <w:rPr>
          <w:b/>
          <w:bCs/>
        </w:rPr>
        <w:t xml:space="preserve">Value:</w:t>
      </w:r>
      <w:r>
        <w:t xml:space="preserve"> </w:t>
      </w:r>
      <w:r>
        <w:t xml:space="preserve">Support governance, audits, and management reporting.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how-cognexiaailegal-is-different"/>
    <w:p>
      <w:pPr>
        <w:pStyle w:val="Heading2"/>
      </w:pPr>
      <w:r>
        <w:t xml:space="preserve">How CognexiaAiLegal Is Different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CognexiaAiLegal</w:t>
            </w:r>
          </w:p>
        </w:tc>
        <w:tc>
          <w:tcPr/>
          <w:p>
            <w:pPr>
              <w:pStyle w:val="Compact"/>
            </w:pPr>
            <w:r>
              <w:t xml:space="preserve">Generic AI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Built for Indian law</w:t>
            </w:r>
          </w:p>
        </w:tc>
        <w:tc>
          <w:tcPr/>
          <w:p>
            <w:pPr>
              <w:pStyle w:val="Compact"/>
            </w:pPr>
            <w:r>
              <w:t xml:space="preserve">General, non‑jurisdictional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Citation‑backed answers</w:t>
            </w:r>
          </w:p>
        </w:tc>
        <w:tc>
          <w:tcPr/>
          <w:p>
            <w:pPr>
              <w:pStyle w:val="Compact"/>
            </w:pPr>
            <w:r>
              <w:t xml:space="preserve">Often uncited outputs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Explainable reasoning</w:t>
            </w:r>
          </w:p>
        </w:tc>
        <w:tc>
          <w:tcPr/>
          <w:p>
            <w:pPr>
              <w:pStyle w:val="Compact"/>
            </w:pPr>
            <w:r>
              <w:t xml:space="preserve">Black‑box responses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Audit‑ready &amp; private</w:t>
            </w:r>
          </w:p>
        </w:tc>
        <w:tc>
          <w:tcPr/>
          <w:p>
            <w:pPr>
              <w:pStyle w:val="Compact"/>
            </w:pPr>
            <w:r>
              <w:t xml:space="preserve">Limited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Supports professionals</w:t>
            </w:r>
          </w:p>
        </w:tc>
        <w:tc>
          <w:tcPr/>
          <w:p>
            <w:pPr>
              <w:pStyle w:val="Compact"/>
            </w:pPr>
            <w:r>
              <w:t xml:space="preserve">Replaces judgment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6" w:name="legal-student-academic-features"/>
    <w:p>
      <w:pPr>
        <w:pStyle w:val="Heading2"/>
      </w:pPr>
      <w:r>
        <w:t xml:space="preserve">Legal Student &amp; Academic Features</w:t>
      </w:r>
    </w:p>
    <w:p>
      <w:pPr>
        <w:pStyle w:val="FirstParagraph"/>
      </w:pPr>
      <w:r>
        <w:t xml:space="preserve">CognexiaAiLegal also serves as a powerful learning and research companion for law students, judicial aspirants, and legal academics—bridging theory, case law, and practical application in the Indian legal context.</w:t>
      </w:r>
    </w:p>
    <w:p>
      <w:r>
        <w:pict>
          <v:rect style="width:0;height:1.5pt" o:hralign="center" o:hrstd="t" o:hr="t"/>
        </w:pict>
      </w:r>
    </w:p>
    <w:bookmarkStart w:id="49" w:name="case-law-learning-simplification"/>
    <w:p>
      <w:pPr>
        <w:pStyle w:val="Heading3"/>
      </w:pPr>
      <w:r>
        <w:t xml:space="preserve">🎓 Case Law Learning &amp; Simplification</w:t>
      </w:r>
    </w:p>
    <w:p>
      <w:pPr>
        <w:pStyle w:val="FirstParagraph"/>
      </w:pPr>
      <w:r>
        <w:t xml:space="preserve">Understand complex judgments with clarity.</w:t>
      </w:r>
    </w:p>
    <w:p>
      <w:pPr>
        <w:pStyle w:val="BodyText"/>
      </w:pPr>
      <w:r>
        <w:rPr>
          <w:b/>
          <w:bCs/>
        </w:rPr>
        <w:t xml:space="preserve">What You Get</w:t>
      </w:r>
      <w:r>
        <w:t xml:space="preserve"> </w:t>
      </w:r>
      <w:r>
        <w:t xml:space="preserve">- Student-friendly case briefs (facts, issues, ratio, conclusion)</w:t>
      </w:r>
      <w:r>
        <w:t xml:space="preserve"> </w:t>
      </w:r>
      <w:r>
        <w:t xml:space="preserve">- Plain-language explanations of complex judgments</w:t>
      </w:r>
      <w:r>
        <w:t xml:space="preserve"> </w:t>
      </w:r>
      <w:r>
        <w:t xml:space="preserve">- Key paragraph highlighting from Supreme Court &amp; High Court cases</w:t>
      </w:r>
      <w:r>
        <w:t xml:space="preserve"> </w:t>
      </w:r>
      <w:r>
        <w:t xml:space="preserve">- Landmark case identification by subject</w:t>
      </w:r>
    </w:p>
    <w:p>
      <w:pPr>
        <w:pStyle w:val="BodyText"/>
      </w:pPr>
      <w:r>
        <w:rPr>
          <w:b/>
          <w:bCs/>
        </w:rPr>
        <w:t xml:space="preserve">Value:</w:t>
      </w:r>
      <w:r>
        <w:t xml:space="preserve"> </w:t>
      </w:r>
      <w:r>
        <w:t xml:space="preserve">Faster comprehension and stronger conceptual clarity.</w:t>
      </w:r>
    </w:p>
    <w:p>
      <w:r>
        <w:pict>
          <v:rect style="width:0;height:1.5pt" o:hralign="center" o:hrstd="t" o:hr="t"/>
        </w:pict>
      </w:r>
    </w:p>
    <w:bookmarkEnd w:id="49"/>
    <w:bookmarkStart w:id="50" w:name="subject-wise-law-explorer"/>
    <w:p>
      <w:pPr>
        <w:pStyle w:val="Heading3"/>
      </w:pPr>
      <w:r>
        <w:t xml:space="preserve">📖 Subject-wise Law Explorer</w:t>
      </w:r>
    </w:p>
    <w:p>
      <w:pPr>
        <w:pStyle w:val="FirstParagraph"/>
      </w:pPr>
      <w:r>
        <w:t xml:space="preserve">Study Indian law in a structured, syllabus-aligned way.</w:t>
      </w:r>
    </w:p>
    <w:p>
      <w:pPr>
        <w:pStyle w:val="BodyText"/>
      </w:pPr>
      <w:r>
        <w:rPr>
          <w:b/>
          <w:bCs/>
        </w:rPr>
        <w:t xml:space="preserve">What You Get</w:t>
      </w:r>
      <w:r>
        <w:t xml:space="preserve"> </w:t>
      </w:r>
      <w:r>
        <w:t xml:space="preserve">- Subject-wise case law mapping (Constitutional Law, Contract, Tort, Criminal, CPC, CrPC, etc.)</w:t>
      </w:r>
      <w:r>
        <w:t xml:space="preserve"> </w:t>
      </w:r>
      <w:r>
        <w:t xml:space="preserve">- Statute-to-case linkage</w:t>
      </w:r>
      <w:r>
        <w:t xml:space="preserve"> </w:t>
      </w:r>
      <w:r>
        <w:t xml:space="preserve">- Topic-wise precedent trees</w:t>
      </w:r>
    </w:p>
    <w:p>
      <w:pPr>
        <w:pStyle w:val="BodyText"/>
      </w:pPr>
      <w:r>
        <w:rPr>
          <w:b/>
          <w:bCs/>
        </w:rPr>
        <w:t xml:space="preserve">Value:</w:t>
      </w:r>
      <w:r>
        <w:t xml:space="preserve"> </w:t>
      </w:r>
      <w:r>
        <w:t xml:space="preserve">Learn law as an interconnected system, not isolated cases.</w:t>
      </w:r>
    </w:p>
    <w:p>
      <w:r>
        <w:pict>
          <v:rect style="width:0;height:1.5pt" o:hralign="center" o:hrstd="t" o:hr="t"/>
        </w:pict>
      </w:r>
    </w:p>
    <w:bookmarkEnd w:id="50"/>
    <w:bookmarkStart w:id="51" w:name="exam-judicial-prep-intelligence"/>
    <w:p>
      <w:pPr>
        <w:pStyle w:val="Heading3"/>
      </w:pPr>
      <w:r>
        <w:t xml:space="preserve">🧠 Exam &amp; Judicial Prep Intelligence</w:t>
      </w:r>
    </w:p>
    <w:p>
      <w:pPr>
        <w:pStyle w:val="FirstParagraph"/>
      </w:pPr>
      <w:r>
        <w:t xml:space="preserve">Designed for law exams and judiciary preparation.</w:t>
      </w:r>
    </w:p>
    <w:p>
      <w:pPr>
        <w:pStyle w:val="BodyText"/>
      </w:pPr>
      <w:r>
        <w:rPr>
          <w:b/>
          <w:bCs/>
        </w:rPr>
        <w:t xml:space="preserve">What You Get</w:t>
      </w:r>
      <w:r>
        <w:t xml:space="preserve"> </w:t>
      </w:r>
      <w:r>
        <w:t xml:space="preserve">- Important judgments for judiciary and entrance exams</w:t>
      </w:r>
      <w:r>
        <w:t xml:space="preserve"> </w:t>
      </w:r>
      <w:r>
        <w:t xml:space="preserve">- Frequently tested legal principles and ratios</w:t>
      </w:r>
      <w:r>
        <w:t xml:space="preserve"> </w:t>
      </w:r>
      <w:r>
        <w:t xml:space="preserve">- MCQ and issue-spotting practice (conceptual, not guess-based)</w:t>
      </w:r>
      <w:r>
        <w:t xml:space="preserve"> </w:t>
      </w:r>
      <w:r>
        <w:t xml:space="preserve">- Answer structuring guidance for descriptive questions</w:t>
      </w:r>
    </w:p>
    <w:p>
      <w:pPr>
        <w:pStyle w:val="BodyText"/>
      </w:pPr>
      <w:r>
        <w:rPr>
          <w:b/>
          <w:bCs/>
        </w:rPr>
        <w:t xml:space="preserve">Value:</w:t>
      </w:r>
      <w:r>
        <w:t xml:space="preserve"> </w:t>
      </w:r>
      <w:r>
        <w:t xml:space="preserve">Targeted preparation with authoritative sources.</w:t>
      </w:r>
    </w:p>
    <w:p>
      <w:r>
        <w:pict>
          <v:rect style="width:0;height:1.5pt" o:hralign="center" o:hrstd="t" o:hr="t"/>
        </w:pict>
      </w:r>
    </w:p>
    <w:bookmarkEnd w:id="51"/>
    <w:bookmarkStart w:id="52" w:name="moot-court-research-paper-support"/>
    <w:p>
      <w:pPr>
        <w:pStyle w:val="Heading3"/>
      </w:pPr>
      <w:r>
        <w:t xml:space="preserve">✍️ Moot Court &amp; Research Paper Support</w:t>
      </w:r>
    </w:p>
    <w:p>
      <w:pPr>
        <w:pStyle w:val="FirstParagraph"/>
      </w:pPr>
      <w:r>
        <w:t xml:space="preserve">Excel in moots and academic writing.</w:t>
      </w:r>
    </w:p>
    <w:p>
      <w:pPr>
        <w:pStyle w:val="BodyText"/>
      </w:pPr>
      <w:r>
        <w:rPr>
          <w:b/>
          <w:bCs/>
        </w:rPr>
        <w:t xml:space="preserve">What You Get</w:t>
      </w:r>
      <w:r>
        <w:t xml:space="preserve"> </w:t>
      </w:r>
      <w:r>
        <w:t xml:space="preserve">- Moot proposition analysis</w:t>
      </w:r>
      <w:r>
        <w:t xml:space="preserve"> </w:t>
      </w:r>
      <w:r>
        <w:t xml:space="preserve">- Memorial and written submission drafting support</w:t>
      </w:r>
      <w:r>
        <w:t xml:space="preserve"> </w:t>
      </w:r>
      <w:r>
        <w:t xml:space="preserve">- Citation assistance (Bluebook / Indian citation formats)</w:t>
      </w:r>
      <w:r>
        <w:t xml:space="preserve"> </w:t>
      </w:r>
      <w:r>
        <w:t xml:space="preserve">- Research paper structuring and source discovery</w:t>
      </w:r>
    </w:p>
    <w:p>
      <w:pPr>
        <w:pStyle w:val="BodyText"/>
      </w:pPr>
      <w:r>
        <w:rPr>
          <w:b/>
          <w:bCs/>
        </w:rPr>
        <w:t xml:space="preserve">Value:</w:t>
      </w:r>
      <w:r>
        <w:t xml:space="preserve"> </w:t>
      </w:r>
      <w:r>
        <w:t xml:space="preserve">Higher-quality moots and publications.</w:t>
      </w:r>
    </w:p>
    <w:p>
      <w:r>
        <w:pict>
          <v:rect style="width:0;height:1.5pt" o:hralign="center" o:hrstd="t" o:hr="t"/>
        </w:pict>
      </w:r>
    </w:p>
    <w:bookmarkEnd w:id="52"/>
    <w:bookmarkStart w:id="53" w:name="practical-law-exposure-mode"/>
    <w:p>
      <w:pPr>
        <w:pStyle w:val="Heading3"/>
      </w:pPr>
      <w:r>
        <w:t xml:space="preserve">🏛️ Practical Law Exposure Mode</w:t>
      </w:r>
    </w:p>
    <w:p>
      <w:pPr>
        <w:pStyle w:val="FirstParagraph"/>
      </w:pPr>
      <w:r>
        <w:t xml:space="preserve">Bridge the gap between classroom learning and real practice.</w:t>
      </w:r>
    </w:p>
    <w:p>
      <w:pPr>
        <w:pStyle w:val="BodyText"/>
      </w:pPr>
      <w:r>
        <w:rPr>
          <w:b/>
          <w:bCs/>
        </w:rPr>
        <w:t xml:space="preserve">What You Get</w:t>
      </w:r>
      <w:r>
        <w:t xml:space="preserve"> </w:t>
      </w:r>
      <w:r>
        <w:t xml:space="preserve">- How courts apply statutes in real cases</w:t>
      </w:r>
      <w:r>
        <w:t xml:space="preserve"> </w:t>
      </w:r>
      <w:r>
        <w:t xml:space="preserve">- Practical insights on pleadings, arguments, and remedies</w:t>
      </w:r>
      <w:r>
        <w:t xml:space="preserve"> </w:t>
      </w:r>
      <w:r>
        <w:t xml:space="preserve">- Sample petitions, notices, and orders for learning purposes</w:t>
      </w:r>
    </w:p>
    <w:p>
      <w:pPr>
        <w:pStyle w:val="BodyText"/>
      </w:pPr>
      <w:r>
        <w:rPr>
          <w:b/>
          <w:bCs/>
        </w:rPr>
        <w:t xml:space="preserve">Value:</w:t>
      </w:r>
      <w:r>
        <w:t xml:space="preserve"> </w:t>
      </w:r>
      <w:r>
        <w:t xml:space="preserve">Graduate practice-ready, not just exam-ready.</w:t>
      </w:r>
    </w:p>
    <w:p>
      <w:r>
        <w:pict>
          <v:rect style="width:0;height:1.5pt" o:hralign="center" o:hrstd="t" o:hr="t"/>
        </w:pict>
      </w:r>
    </w:p>
    <w:bookmarkEnd w:id="53"/>
    <w:bookmarkStart w:id="54" w:name="personal-study-workspace"/>
    <w:p>
      <w:pPr>
        <w:pStyle w:val="Heading3"/>
      </w:pPr>
      <w:r>
        <w:t xml:space="preserve">📚 Personal Study Workspace</w:t>
      </w:r>
    </w:p>
    <w:p>
      <w:pPr>
        <w:pStyle w:val="FirstParagraph"/>
      </w:pPr>
      <w:r>
        <w:t xml:space="preserve">Your private legal learning environment.</w:t>
      </w:r>
    </w:p>
    <w:p>
      <w:pPr>
        <w:pStyle w:val="BodyText"/>
      </w:pPr>
      <w:r>
        <w:rPr>
          <w:b/>
          <w:bCs/>
        </w:rPr>
        <w:t xml:space="preserve">What You Get</w:t>
      </w:r>
      <w:r>
        <w:t xml:space="preserve"> </w:t>
      </w:r>
      <w:r>
        <w:t xml:space="preserve">- Save cases, notes, and highlights</w:t>
      </w:r>
      <w:r>
        <w:t xml:space="preserve"> </w:t>
      </w:r>
      <w:r>
        <w:t xml:space="preserve">- Create subject-wise folders</w:t>
      </w:r>
      <w:r>
        <w:t xml:space="preserve"> </w:t>
      </w:r>
      <w:r>
        <w:t xml:space="preserve">- Annotate judgments and statutes</w:t>
      </w:r>
    </w:p>
    <w:p>
      <w:pPr>
        <w:pStyle w:val="BodyText"/>
      </w:pPr>
      <w:r>
        <w:rPr>
          <w:b/>
          <w:bCs/>
        </w:rPr>
        <w:t xml:space="preserve">Value:</w:t>
      </w:r>
      <w:r>
        <w:t xml:space="preserve"> </w:t>
      </w:r>
      <w:r>
        <w:t xml:space="preserve">Build a personal legal knowledge base throughout law school.</w:t>
      </w:r>
    </w:p>
    <w:p>
      <w:r>
        <w:pict>
          <v:rect style="width:0;height:1.5pt" o:hralign="center" o:hrstd="t" o:hr="t"/>
        </w:pict>
      </w:r>
    </w:p>
    <w:bookmarkEnd w:id="54"/>
    <w:bookmarkStart w:id="55" w:name="ethical-responsible-ai-learning"/>
    <w:p>
      <w:pPr>
        <w:pStyle w:val="Heading3"/>
      </w:pPr>
      <w:r>
        <w:t xml:space="preserve">🧭 Ethical &amp; Responsible AI Learning</w:t>
      </w:r>
    </w:p>
    <w:p>
      <w:pPr>
        <w:pStyle w:val="FirstParagraph"/>
      </w:pPr>
      <w:r>
        <w:t xml:space="preserve">Learn law with integrity.</w:t>
      </w:r>
    </w:p>
    <w:p>
      <w:pPr>
        <w:pStyle w:val="BodyText"/>
      </w:pPr>
      <w:r>
        <w:rPr>
          <w:b/>
          <w:bCs/>
        </w:rPr>
        <w:t xml:space="preserve">What You Get</w:t>
      </w:r>
      <w:r>
        <w:t xml:space="preserve"> </w:t>
      </w:r>
      <w:r>
        <w:t xml:space="preserve">- Clear citation of sources</w:t>
      </w:r>
      <w:r>
        <w:t xml:space="preserve"> </w:t>
      </w:r>
      <w:r>
        <w:t xml:space="preserve">- Guidance on academic integrity and plagiarism avoidance</w:t>
      </w:r>
      <w:r>
        <w:t xml:space="preserve"> </w:t>
      </w:r>
      <w:r>
        <w:t xml:space="preserve">- Explainable reasoning instead of answer-only outputs</w:t>
      </w:r>
    </w:p>
    <w:p>
      <w:pPr>
        <w:pStyle w:val="BodyText"/>
      </w:pPr>
      <w:r>
        <w:rPr>
          <w:b/>
          <w:bCs/>
        </w:rPr>
        <w:t xml:space="preserve">Value:</w:t>
      </w:r>
      <w:r>
        <w:t xml:space="preserve"> </w:t>
      </w:r>
      <w:r>
        <w:t xml:space="preserve">Learn</w:t>
      </w:r>
      <w:r>
        <w:t xml:space="preserve"> </w:t>
      </w:r>
      <w:r>
        <w:rPr>
          <w:i/>
          <w:iCs/>
        </w:rPr>
        <w:t xml:space="preserve">how to think like a lawyer</w:t>
      </w:r>
      <w:r>
        <w:t xml:space="preserve">, not just what to write.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who-its-for"/>
    <w:p>
      <w:pPr>
        <w:pStyle w:val="Heading2"/>
      </w:pPr>
      <w:r>
        <w:t xml:space="preserve">Who It’s For</w:t>
      </w:r>
    </w:p>
    <w:p>
      <w:pPr>
        <w:pStyle w:val="FirstParagraph"/>
      </w:pPr>
      <w:r>
        <w:rPr>
          <w:b/>
          <w:bCs/>
        </w:rPr>
        <w:t xml:space="preserve">Purpose‑built for institutions that rely on legal accuracy.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Law Firms</w:t>
      </w:r>
      <w:r>
        <w:t xml:space="preserve"> </w:t>
      </w:r>
      <w:r>
        <w:t xml:space="preserve">– Faster research, consistent drafting, stronger client outcomes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In‑House Legal Teams</w:t>
      </w:r>
      <w:r>
        <w:t xml:space="preserve"> </w:t>
      </w:r>
      <w:r>
        <w:t xml:space="preserve">– Contract, litigation, and compliance efficiency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Compliance &amp; Risk Teams</w:t>
      </w:r>
      <w:r>
        <w:t xml:space="preserve"> </w:t>
      </w:r>
      <w:r>
        <w:t xml:space="preserve">– Regulatory visibility and audit readiness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Government &amp; Public Sector</w:t>
      </w:r>
      <w:r>
        <w:t xml:space="preserve"> </w:t>
      </w:r>
      <w:r>
        <w:t xml:space="preserve">– Transparent, authoritative legal intelligence</w:t>
      </w:r>
    </w:p>
    <w:p>
      <w:r>
        <w:pict>
          <v:rect style="width:0;height:1.5pt" o:hralign="center" o:hrstd="t" o:hr="t"/>
        </w:pict>
      </w:r>
    </w:p>
    <w:bookmarkEnd w:id="57"/>
    <w:bookmarkStart w:id="58" w:name="security-privacy-governance"/>
    <w:p>
      <w:pPr>
        <w:pStyle w:val="Heading2"/>
      </w:pPr>
      <w:r>
        <w:t xml:space="preserve">Security, Privacy &amp; Governance</w:t>
      </w:r>
    </w:p>
    <w:p>
      <w:pPr>
        <w:pStyle w:val="Compact"/>
        <w:numPr>
          <w:ilvl w:val="0"/>
          <w:numId w:val="1003"/>
        </w:numPr>
      </w:pPr>
      <w:r>
        <w:t xml:space="preserve">Enterprise‑grade access controls</w:t>
      </w:r>
    </w:p>
    <w:p>
      <w:pPr>
        <w:pStyle w:val="Compact"/>
        <w:numPr>
          <w:ilvl w:val="0"/>
          <w:numId w:val="1003"/>
        </w:numPr>
      </w:pPr>
      <w:r>
        <w:t xml:space="preserve">Data isolation and confidentiality</w:t>
      </w:r>
    </w:p>
    <w:p>
      <w:pPr>
        <w:pStyle w:val="Compact"/>
        <w:numPr>
          <w:ilvl w:val="0"/>
          <w:numId w:val="1003"/>
        </w:numPr>
      </w:pPr>
      <w:r>
        <w:t xml:space="preserve">Full activity logs and audit trails</w:t>
      </w:r>
    </w:p>
    <w:p>
      <w:pPr>
        <w:pStyle w:val="Compact"/>
        <w:numPr>
          <w:ilvl w:val="0"/>
          <w:numId w:val="1003"/>
        </w:numPr>
      </w:pPr>
      <w:r>
        <w:t xml:space="preserve">Designed for regulatory and institutional use</w:t>
      </w:r>
    </w:p>
    <w:p>
      <w:r>
        <w:pict>
          <v:rect style="width:0;height:1.5pt" o:hralign="center" o:hrstd="t" o:hr="t"/>
        </w:pict>
      </w:r>
    </w:p>
    <w:bookmarkEnd w:id="58"/>
    <w:bookmarkStart w:id="59" w:name="why-cognexiaailegal"/>
    <w:p>
      <w:pPr>
        <w:pStyle w:val="Heading2"/>
      </w:pPr>
      <w:r>
        <w:t xml:space="preserve">Why CognexiaAiLegal</w:t>
      </w:r>
    </w:p>
    <w:p>
      <w:pPr>
        <w:pStyle w:val="Compact"/>
        <w:numPr>
          <w:ilvl w:val="0"/>
          <w:numId w:val="1004"/>
        </w:numPr>
      </w:pPr>
      <w:r>
        <w:t xml:space="preserve">Designed</w:t>
      </w:r>
      <w:r>
        <w:t xml:space="preserve"> </w:t>
      </w:r>
      <w:r>
        <w:rPr>
          <w:i/>
          <w:iCs/>
        </w:rPr>
        <w:t xml:space="preserve">specifically</w:t>
      </w:r>
      <w:r>
        <w:t xml:space="preserve"> </w:t>
      </w:r>
      <w:r>
        <w:t xml:space="preserve">for the Indian legal ecosystem</w:t>
      </w:r>
    </w:p>
    <w:p>
      <w:pPr>
        <w:pStyle w:val="Compact"/>
        <w:numPr>
          <w:ilvl w:val="0"/>
          <w:numId w:val="1004"/>
        </w:numPr>
      </w:pPr>
      <w:r>
        <w:t xml:space="preserve">Grounded in authoritative legal sources</w:t>
      </w:r>
    </w:p>
    <w:p>
      <w:pPr>
        <w:pStyle w:val="Compact"/>
        <w:numPr>
          <w:ilvl w:val="0"/>
          <w:numId w:val="1004"/>
        </w:numPr>
      </w:pPr>
      <w:r>
        <w:t xml:space="preserve">Transparent, explainable AI outputs</w:t>
      </w:r>
    </w:p>
    <w:p>
      <w:pPr>
        <w:pStyle w:val="Compact"/>
        <w:numPr>
          <w:ilvl w:val="0"/>
          <w:numId w:val="1004"/>
        </w:numPr>
      </w:pPr>
      <w:r>
        <w:t xml:space="preserve">AI that augments—not replaces—legal professionals</w:t>
      </w:r>
    </w:p>
    <w:p>
      <w:r>
        <w:pict>
          <v:rect style="width:0;height:1.5pt" o:hralign="center" o:hrstd="t" o:hr="t"/>
        </w:pict>
      </w:r>
    </w:p>
    <w:bookmarkEnd w:id="59"/>
    <w:bookmarkStart w:id="61" w:name="final-call-to-action"/>
    <w:p>
      <w:pPr>
        <w:pStyle w:val="Heading2"/>
      </w:pPr>
      <w:r>
        <w:t xml:space="preserve">Final Call to Action</w:t>
      </w:r>
    </w:p>
    <w:bookmarkStart w:id="60" w:name="Xdcf4132b463e1041900d3913aa40dd470c36f86"/>
    <w:p>
      <w:pPr>
        <w:pStyle w:val="Heading3"/>
      </w:pPr>
      <w:r>
        <w:t xml:space="preserve">Experience Legal Intelligence You Can Trust</w:t>
      </w:r>
    </w:p>
    <w:p>
      <w:pPr>
        <w:pStyle w:val="FirstParagraph"/>
      </w:pPr>
      <w:r>
        <w:t xml:space="preserve">Transform how you research, draft, analyze contracts, and manage compliance—without compromising legal rigor.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  <w:bCs/>
        </w:rPr>
        <w:t xml:space="preserve">Request a Legal Demo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2026-01-28T16:30:55Z</dcterms:created>
  <dcterms:modified xsi:type="dcterms:W3CDTF">2026-01-28T16:30:55Z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