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126" w:left="26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МИНОБРНАУКИ РОССИИ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Математический факультет</w:t>
        <w:br/>
        <w:t xml:space="preserve">02.03.02 Фундаментальная информатика и информационные технологии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учебную практику (Научно-исследовательская работу (получение первичных навыков научно-исследовательской работы))</w:t>
      </w: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{surname} {name} {patronymic}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{group}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Сроки прохождения практики {DataStartFull}-{DataEndFull}.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заданий и вопросов, подлежащих исследованию (в соответствии с программой практики):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{one};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{two};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{three};</w:t>
      </w:r>
    </w:p>
    <w:p>
      <w:pPr>
        <w:numPr>
          <w:ilvl w:val="0"/>
          <w:numId w:val="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{four}.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ЧелГУ </w:t>
        <w:tab/>
        <w:t xml:space="preserve">________________ Шабанов Т.Ю.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</w:t>
        <w:tab/>
        <w:tab/>
        <w:tab/>
        <w:tab/>
        <w:tab/>
        <w:t xml:space="preserve">________________ {surname} {nameInitial}.{patronymicInitial}.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НИР                            _______________ {teacherLastName} {teacherNameInitial}.{teacherPatronymicInitial}.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