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sz w:val="56"/>
          <w:szCs w:val="56"/>
        </w:rPr>
        <w:t xml:space="preserve">WRO 2026 — Future Engineers</w:t>
      </w:r>
    </w:p>
    <w:p>
      <w:pPr>
        <w:spacing w:before="200"/>
        <w:jc w:val="center"/>
      </w:pPr>
      <w:r>
        <w:rPr>
          <w:sz w:val="40"/>
          <w:szCs w:val="40"/>
        </w:rPr>
        <w:t xml:space="preserve">Engineering Journal</w:t>
      </w:r>
    </w:p>
    <w:p>
      <w:pPr>
        <w:spacing w:before="600"/>
        <w:jc w:val="center"/>
      </w:pPr>
      <w:r>
        <w:rPr>
          <w:sz w:val="28"/>
          <w:szCs w:val="28"/>
        </w:rPr>
        <w:t xml:space="preserve">Team: </w:t>
      </w:r>
      <w:r>
        <w:rPr>
          <w:b/>
          <w:bCs/>
          <w:highlight w:val="yellow"/>
          <w:highlightCs w:val="yellow"/>
        </w:rPr>
        <w:t xml:space="preserve">TED drive</w:t>
      </w:r>
    </w:p>
    <w:p>
      <w:pPr>
        <w:spacing w:before="200"/>
        <w:jc w:val="center"/>
      </w:pPr>
      <w:r>
        <w:rPr>
          <w:sz w:val="26"/>
          <w:szCs w:val="26"/>
        </w:rPr>
        <w:t xml:space="preserve">Members: Ethan Fernandes  ·  Tejas </w:t>
      </w:r>
      <w:r>
        <w:rPr>
          <w:b/>
          <w:bCs/>
          <w:highlight w:val="yellow"/>
          <w:highlightCs w:val="yellow"/>
        </w:rPr>
        <w:t xml:space="preserve">Sirikonda</w:t>
      </w:r>
    </w:p>
    <w:p>
      <w:pPr>
        <w:spacing w:before="120"/>
        <w:jc w:val="center"/>
      </w:pPr>
      <w:r>
        <w:rPr>
          <w:sz w:val="26"/>
          <w:szCs w:val="26"/>
        </w:rPr>
        <w:t xml:space="preserve">Coach: Amey Chavan</w:t>
      </w:r>
    </w:p>
    <w:p>
      <w:pPr>
        <w:spacing w:before="600"/>
        <w:jc w:val="center"/>
      </w:pPr>
      <w:r>
        <w:rPr>
          <w:sz w:val="24"/>
          <w:szCs w:val="24"/>
        </w:rPr>
        <w:t xml:space="preserve">WRO India National Finals — GMR Arena, Aerocity, Hyderabad · 26–28 August 2026</w:t>
      </w:r>
    </w:p>
    <w:p>
      <w:pPr>
        <w:spacing w:before="200"/>
        <w:jc w:val="center"/>
      </w:pPr>
      <w:r>
        <w:rPr>
          <w:sz w:val="24"/>
          <w:szCs w:val="24"/>
        </w:rPr>
        <w:t xml:space="preserve">Repository: github.com/teddriveomo/wro-2026-future-engineers</w:t>
      </w:r>
    </w:p>
    <w:p>
      <w:r>
        <w:br w:type="page"/>
      </w:r>
    </w:p>
    <w:p>
      <w:pPr>
        <w:pStyle w:val="Heading1"/>
        <w:spacing w:after="160" w:before="240"/>
      </w:pPr>
      <w:r>
        <w:t xml:space="preserve">1. Vehicle and Challenge Overview</w:t>
      </w:r>
    </w:p>
    <w:p>
      <w:pPr>
        <w:spacing w:after="120" w:line="276"/>
      </w:pPr>
      <w:r>
        <w:t xml:space="preserve">The Future Engineers challenge asks for a self-driving car that completes three laps of a randomized track (Open Challenge) and, in the Obstacle Challenge, additionally obeys red and green traffic pillars — passing red pillars on their right side and green pillars on their left — before parallel parking. Every run starts from a switched-off vehicle: one power switch, then one start button, pressed on the judge's signal.</w:t>
      </w:r>
    </w:p>
    <w:p>
      <w:pPr>
        <w:spacing w:after="120" w:line="276"/>
      </w:pPr>
      <w:r>
        <w:t xml:space="preserve">Our vehicle is a rear-wheel-drive car with front servo steering, controlled by two computers that split the work the way our team splits it: a Raspberry Pi 5 does perception (camera, colour understanding), and an ESP32 does control (driving, turning, avoiding), connected by a simple one-way serial protocol. Three laser rangefinders watch the walls, an IMU holds our heading, and a single camera finds the pillars.</w:t>
      </w:r>
    </w:p>
    <w:p>
      <w:pPr>
        <w:spacing w:after="120" w:line="276"/>
      </w:pPr>
      <w:r>
        <w:t xml:space="preserve">The journal is organised around the five things we actually had to manage: mobility (chapter 2), power and sensing (chapter 3), obstacle strategy in software (chapter 4), the engineering decisions and iterations that got us here (chapter 5), and reproducing all of it from our public repository (chapter 6). Everything in this document is either measured, cited from a datasheet and labelled as such, or marked </w:t>
      </w:r>
    </w:p>
    <w:p>
      <w:pPr>
        <w:spacing w:after="120" w:line="276"/>
      </w:pPr>
      <w:r>
        <w:t xml:space="preserve">honestly as still open. Where a number is still pending a measurement session, it appears highlighted like </w:t>
      </w:r>
      <w:r>
        <w:rPr>
          <w:b/>
          <w:bCs/>
          <w:highlight w:val="yellow"/>
          <w:highlightCs w:val="yellow"/>
        </w:rPr>
        <w:t xml:space="preserve">[this]</w:t>
      </w:r>
      <w:r>
        <w:t xml:space="preserve"> rather than invented.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tcPr>
          <w:p>
            <w:pPr>
              <w:spacing w:after="100" w:before="200"/>
              <w:jc w:val="center"/>
            </w:pPr>
            <w:r>
              <w:rPr>
                <w:b/>
                <w:bCs/>
                <w:highlight w:val="yellow"/>
                <w:highlightCs w:val="yellow"/>
              </w:rPr>
              <w:t xml:space="preserve">[PHOTO: full vehicle, 3/4 view, on the mat — the hero shot]</w:t>
            </w:r>
          </w:p>
          <w:p>
            <w:r>
              <w:t xml:space="preserve"/>
            </w:r>
          </w:p>
          <w:p>
            <w:r>
              <w:t xml:space="preserve"/>
            </w:r>
          </w:p>
          <w:p>
            <w:r>
              <w:t xml:space="preserve"/>
            </w:r>
          </w:p>
          <w:p>
            <w:r>
              <w:t xml:space="preserve"/>
            </w:r>
          </w:p>
          <w:p>
            <w:r>
              <w:t xml:space="preserve"/>
            </w:r>
          </w:p>
          <w:p>
            <w:r>
              <w:t xml:space="preserve"/>
            </w:r>
          </w:p>
          <w:p>
            <w:r>
              <w:t xml:space="preserve"/>
            </w:r>
          </w:p>
        </w:tc>
      </w:tr>
    </w:tbl>
    <w:p>
      <w:r>
        <w:br w:type="page"/>
      </w:r>
    </w:p>
    <w:p>
      <w:pPr>
        <w:pStyle w:val="Heading1"/>
        <w:spacing w:after="160" w:before="240"/>
      </w:pPr>
      <w:r>
        <w:t xml:space="preserve">2. Mobility Management</w:t>
      </w:r>
    </w:p>
    <w:p>
      <w:pPr>
        <w:pStyle w:val="Heading2"/>
        <w:spacing w:after="120" w:before="200"/>
      </w:pPr>
      <w:r>
        <w:t xml:space="preserve">2.1 Drivetrain</w:t>
      </w:r>
    </w:p>
    <w:p>
      <w:pPr>
        <w:spacing w:after="120" w:line="276"/>
      </w:pPr>
      <w:r>
        <w:t xml:space="preserve">A single N20-class geared DC motor (GA12-N20-600: 12 V, 600 RPM output, 1:50 internal gearbox) drives the rear axle through a metal pinion meshing into a LEGO differential. The differential lets the rear wheels rotate at different speeds through corners, which matters because our steering geometry is a servo-driven front linkage rather than a pivot-in-place drivetrain. The motor figures are datasheet-class values for this motor family — rated torque in the 0.18–0.65 kg·cm span and current from ~0.06 A free-running toward ~0.75 A at stall — and we label them as estimates rather than our own bench measurements.</w:t>
      </w:r>
    </w:p>
    <w:p>
      <w:pPr>
        <w:spacing w:after="120" w:line="276"/>
      </w:pPr>
      <w:r>
        <w:t xml:space="preserve">Speed derivation: 600 RPM at the gearbox output, less load droop, gives roughly 555 RPM at the pinion. With rear wheels of 55.6 mm diameter, wheel speed = RPM × π × D / 60. The one factor we still owe this chapter is the external pinion-to-crown tooth ratio through the differential: </w:t>
      </w:r>
      <w:r>
        <w:rPr>
          <w:b/>
          <w:bCs/>
          <w:highlight w:val="yellow"/>
          <w:highlightCs w:val="yellow"/>
        </w:rPr>
        <w:t xml:space="preserve">[COUNT: pinion teeth ___ : crown teeth ___]</w:t>
      </w:r>
      <w:r>
        <w:t xml:space="preserve">. With that ratio R, top speed ≈ (555 / R) × π × 0.0556 / 60 m/s; the un-geared upper bound is ≈ 1.6 m/s, and the true value sits below it by exactly R.</w:t>
      </w:r>
    </w:p>
    <w:p>
      <w:pPr>
        <w:pStyle w:val="Heading2"/>
        <w:spacing w:after="120" w:before="200"/>
      </w:pPr>
      <w:r>
        <w:t xml:space="preserve">2.2 Wheels and steering</w:t>
      </w:r>
    </w:p>
    <w:p>
      <w:pPr>
        <w:spacing w:after="120" w:line="276"/>
      </w:pPr>
      <w:r>
        <w:t xml:space="preserve">Rear wheels: 55.6 × 14 mm. Front wheels: 41 × 21 mm. Steering is an MG90 micro-servo through a mechanical linkage; in firmware the servo centre is 100 with a mechanical envelope of ±35 servo units, and every steering write is clamped to that envelope so no software state can command the linkage past its physical stops. A single inversion flag maps software left/right to mechanical left/right, so the same control code survives a re-assembled linkage.</w:t>
      </w:r>
    </w:p>
    <w:p>
      <w:pPr>
        <w:pStyle w:val="Heading2"/>
        <w:spacing w:after="120" w:before="200"/>
      </w:pPr>
      <w:r>
        <w:t xml:space="preserve">2.3 Chassis: the failure that redesigned it</w:t>
      </w:r>
    </w:p>
    <w:p>
      <w:pPr>
        <w:spacing w:after="120" w:line="276"/>
      </w:pPr>
      <w:r>
        <w:t xml:space="preserve">Our first competition-configuration chassis was assembled around a LEGO space-frame. It drove — and then it taught us our first hard mechanical lesson: under real driving loads the rear wheels worked loose and shed from the axle within about five seconds of aggressive running. Wheel retention was the first mechanical gate our vehicle failed.</w:t>
      </w:r>
    </w:p>
    <w:p>
      <w:pPr>
        <w:spacing w:after="120" w:line="276"/>
      </w:pPr>
      <w:r>
        <w:t xml:space="preserve">The fix is decision D8 in our decision log: rebuild the chassis as a fully 3D-printed frame with positive wheel retention designed in, not added on. Status at time of writing: </w:t>
      </w:r>
      <w:r>
        <w:rPr>
          <w:b/>
          <w:bCs/>
          <w:highlight w:val="yellow"/>
          <w:highlightCs w:val="yellow"/>
        </w:rPr>
        <w:t xml:space="preserve">[UPDATE before print: printed / assembled / test-driven — include what carried over (wheels, differential) and drop in a photo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tcPr>
          <w:p>
            <w:pPr>
              <w:spacing w:after="100" w:before="200"/>
              <w:jc w:val="center"/>
            </w:pPr>
            <w:r>
              <w:rPr>
                <w:b/>
                <w:bCs/>
                <w:highlight w:val="yellow"/>
                <w:highlightCs w:val="yellow"/>
              </w:rPr>
              <w:t xml:space="preserve">[PHOTO: printed chassis (or current chassis if rebuild pending) — show the wheel retention feature up close]</w:t>
            </w:r>
          </w:p>
          <w:p>
            <w:r>
              <w:t xml:space="preserve"/>
            </w:r>
          </w:p>
          <w:p>
            <w:r>
              <w:t xml:space="preserve"/>
            </w:r>
          </w:p>
          <w:p>
            <w:r>
              <w:t xml:space="preserve"/>
            </w:r>
          </w:p>
          <w:p>
            <w:r>
              <w:t xml:space="preserve"/>
            </w:r>
          </w:p>
          <w:p>
            <w:r>
              <w:t xml:space="preserve"/>
            </w:r>
          </w:p>
        </w:tc>
      </w:tr>
    </w:tbl>
    <w:p>
      <w:pPr>
        <w:pStyle w:val="Heading2"/>
        <w:spacing w:after="120" w:before="200"/>
      </w:pPr>
      <w:r>
        <w:t xml:space="preserve">2.4 What we would measure next</w:t>
      </w:r>
    </w:p>
    <w:p>
      <w:pPr>
        <w:spacing w:after="120" w:line="276"/>
      </w:pPr>
      <w:r>
        <w:t xml:space="preserve">A stall-torque bench test of our actual motor unit (not the datasheet family), and a loaded top-speed run over a measured distance, would convert the two labelled estimates above into measurements. Both are on the list for the pre-competition test day.</w:t>
      </w:r>
    </w:p>
    <w:p>
      <w:r>
        <w:br w:type="page"/>
      </w:r>
    </w:p>
    <w:p>
      <w:pPr>
        <w:pStyle w:val="Heading1"/>
        <w:spacing w:after="160" w:before="240"/>
      </w:pPr>
      <w:r>
        <w:t xml:space="preserve">3. Power and Sense Management</w:t>
      </w:r>
    </w:p>
    <w:p>
      <w:pPr>
        <w:pStyle w:val="Heading2"/>
        <w:spacing w:after="120" w:before="200"/>
      </w:pPr>
      <w:r>
        <w:t xml:space="preserve">3.1 Power architecture</w:t>
      </w:r>
    </w:p>
    <w:p>
      <w:pPr>
        <w:spacing w:after="120" w:line="276"/>
      </w:pPr>
      <w:r>
        <w:t xml:space="preserve">One battery powers everything: a 3S Li-Po, 11.1 V nominal, 2600 mAh, terminated in a DC jack. The pack feeds a buck converter that produces the 5 V rail for the ESP32 and the steering servo; the drive motor takes battery voltage through a TB6612FNG driver (direction pins + PWM, with the driver's standby line held enabled). The Raspberry Pi 5 runs from the same pack through its own regulator.</w:t>
      </w:r>
    </w:p>
    <w:p>
      <w:pPr>
        <w:spacing w:after="120" w:line="276"/>
      </w:pPr>
      <w:r>
        <w:t xml:space="preserve">Open item we track honestly: the Pi 5 regulator's current rating has not been verified against the Pi's peak draw — it is on the measurement list below, because a brown-out of the perception computer mid-run is a failure we want to see on the bench, never on the mat.</w:t>
      </w:r>
    </w:p>
    <w:p>
      <w:pPr>
        <w:spacing w:after="120" w:line="276"/>
      </w:pPr>
      <w:r>
        <w:t xml:space="preserve">Rules drove two hardware additions this cycle: the vehicle must carry exactly one power switch and must wait for one start button (rules 9.6–9.14). The switch cuts the pack; the start button is read by the firmware, which now boots into a waiting state and only arms the drive after the button press — the same press that captures our heading reference, with the car already placed on the mat.</w:t>
      </w:r>
    </w:p>
    <w:p>
      <w:pPr>
        <w:spacing w:after="120" w:line="276"/>
      </w:pPr>
      <w:r>
        <w:rPr>
          <w:b/>
          <w:bCs/>
          <w:highlight w:val="yellow"/>
          <w:highlightCs w:val="yellow"/>
        </w:rPr>
        <w:t xml:space="preserve">[PHOTO + one line: where the power switch and start button are mounted]</w:t>
      </w:r>
    </w:p>
    <w:p>
      <w:pPr>
        <w:pStyle w:val="Heading2"/>
        <w:spacing w:after="120" w:before="200"/>
      </w:pPr>
      <w:r>
        <w:t xml:space="preserve">3.2 Power budget</w:t>
      </w:r>
    </w:p>
    <w:p>
      <w:pPr>
        <w:spacing w:after="120" w:line="276"/>
      </w:pPr>
      <w:r>
        <w:t xml:space="preserve">The table below is filled from a per-rail multimeter session: </w:t>
      </w:r>
      <w:r>
        <w:rPr>
          <w:b/>
          <w:bCs/>
          <w:highlight w:val="yellow"/>
          <w:highlightCs w:val="yellow"/>
        </w:rPr>
        <w:t xml:space="preserve">[MEASURE and fill — method: inline multimeter on each rail; record idle, cruising, and stall/peak]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800"/>
        <w:gridCol w:w="1500"/>
        <w:gridCol w:w="1500"/>
        <w:gridCol w:w="1526"/>
      </w:tblGrid>
      <w:tr>
        <w:tc>
          <w:tcPr>
            <w:tcW w:type="dxa" w:w="2700"/>
            <w:shd w:fill="E8E8E8" w:val="clear"/>
          </w:tcPr>
          <w:p>
            <w:pPr>
              <w:spacing w:after="40" w:before="40"/>
            </w:pPr>
            <w:r>
              <w:rPr>
                <w:b/>
                <w:bCs/>
              </w:rPr>
              <w:t xml:space="preserve">Consumer</w:t>
            </w:r>
          </w:p>
        </w:tc>
        <w:tc>
          <w:tcPr>
            <w:tcW w:type="dxa" w:w="2700"/>
            <w:shd w:fill="E8E8E8" w:val="clear"/>
          </w:tcPr>
          <w:p>
            <w:pPr>
              <w:spacing w:after="40" w:before="40"/>
            </w:pPr>
            <w:r>
              <w:rPr>
                <w:b/>
                <w:bCs/>
              </w:rPr>
              <w:t xml:space="preserve">Rail</w:t>
            </w:r>
          </w:p>
        </w:tc>
        <w:tc>
          <w:tcPr>
            <w:tcW w:type="dxa" w:w="2700"/>
            <w:shd w:fill="E8E8E8" w:val="clear"/>
          </w:tcPr>
          <w:p>
            <w:pPr>
              <w:spacing w:after="40" w:before="40"/>
            </w:pPr>
            <w:r>
              <w:rPr>
                <w:b/>
                <w:bCs/>
              </w:rPr>
              <w:t xml:space="preserve">Idle (mA)</w:t>
            </w:r>
          </w:p>
        </w:tc>
        <w:tc>
          <w:tcPr>
            <w:tcW w:type="dxa" w:w="2700"/>
            <w:shd w:fill="E8E8E8" w:val="clear"/>
          </w:tcPr>
          <w:p>
            <w:pPr>
              <w:spacing w:after="40" w:before="40"/>
            </w:pPr>
            <w:r>
              <w:rPr>
                <w:b/>
                <w:bCs/>
              </w:rPr>
              <w:t xml:space="preserve">Cruise (mA)</w:t>
            </w:r>
          </w:p>
        </w:tc>
        <w:tc>
          <w:tcPr>
            <w:tcW w:type="dxa" w:w="2700"/>
            <w:shd w:fill="E8E8E8" w:val="clear"/>
          </w:tcPr>
          <w:p>
            <w:pPr>
              <w:spacing w:after="40" w:before="40"/>
            </w:pPr>
            <w:r>
              <w:rPr>
                <w:b/>
                <w:bCs/>
              </w:rPr>
              <w:t xml:space="preserve">Peak (mA)</w:t>
            </w:r>
          </w:p>
        </w:tc>
      </w:tr>
      <w:tr>
        <w:tc>
          <w:tcPr>
            <w:tcW w:type="dxa" w:w="2700"/>
          </w:tcPr>
          <w:p>
            <w:pPr>
              <w:spacing w:after="40" w:before="40"/>
            </w:pPr>
            <w:r>
              <w:rPr>
                <w:b w:val="false"/>
                <w:bCs w:val="false"/>
              </w:rPr>
              <w:t xml:space="preserve">ESP32 + sensors</w:t>
            </w:r>
          </w:p>
        </w:tc>
        <w:tc>
          <w:tcPr>
            <w:tcW w:type="dxa" w:w="2700"/>
          </w:tcPr>
          <w:p>
            <w:pPr>
              <w:spacing w:after="40" w:before="40"/>
            </w:pPr>
            <w:r>
              <w:rPr>
                <w:b w:val="false"/>
                <w:bCs w:val="false"/>
              </w:rPr>
              <w:t xml:space="preserve">5 V (buck)</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r>
      <w:tr>
        <w:tc>
          <w:tcPr>
            <w:tcW w:type="dxa" w:w="2700"/>
          </w:tcPr>
          <w:p>
            <w:pPr>
              <w:spacing w:after="40" w:before="40"/>
            </w:pPr>
            <w:r>
              <w:rPr>
                <w:b w:val="false"/>
                <w:bCs w:val="false"/>
              </w:rPr>
              <w:t xml:space="preserve">Steering servo (MG90)</w:t>
            </w:r>
          </w:p>
        </w:tc>
        <w:tc>
          <w:tcPr>
            <w:tcW w:type="dxa" w:w="2700"/>
          </w:tcPr>
          <w:p>
            <w:pPr>
              <w:spacing w:after="40" w:before="40"/>
            </w:pPr>
            <w:r>
              <w:rPr>
                <w:b w:val="false"/>
                <w:bCs w:val="false"/>
              </w:rPr>
              <w:t xml:space="preserve">5 V (buck)</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r>
      <w:tr>
        <w:tc>
          <w:tcPr>
            <w:tcW w:type="dxa" w:w="2700"/>
          </w:tcPr>
          <w:p>
            <w:pPr>
              <w:spacing w:after="40" w:before="40"/>
            </w:pPr>
            <w:r>
              <w:rPr>
                <w:b w:val="false"/>
                <w:bCs w:val="false"/>
              </w:rPr>
              <w:t xml:space="preserve">Drive motor (via TB6612)</w:t>
            </w:r>
          </w:p>
        </w:tc>
        <w:tc>
          <w:tcPr>
            <w:tcW w:type="dxa" w:w="2700"/>
          </w:tcPr>
          <w:p>
            <w:pPr>
              <w:spacing w:after="40" w:before="40"/>
            </w:pPr>
            <w:r>
              <w:rPr>
                <w:b w:val="false"/>
                <w:bCs w:val="false"/>
              </w:rPr>
              <w:t xml:space="preserve">11.1 V pack</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r>
      <w:tr>
        <w:tc>
          <w:tcPr>
            <w:tcW w:type="dxa" w:w="2700"/>
          </w:tcPr>
          <w:p>
            <w:pPr>
              <w:spacing w:after="40" w:before="40"/>
            </w:pPr>
            <w:r>
              <w:rPr>
                <w:b w:val="false"/>
                <w:bCs w:val="false"/>
              </w:rPr>
              <w:t xml:space="preserve">Raspberry Pi 5 + camera</w:t>
            </w:r>
          </w:p>
        </w:tc>
        <w:tc>
          <w:tcPr>
            <w:tcW w:type="dxa" w:w="2700"/>
          </w:tcPr>
          <w:p>
            <w:pPr>
              <w:spacing w:after="40" w:before="40"/>
            </w:pPr>
            <w:r>
              <w:rPr>
                <w:b w:val="false"/>
                <w:bCs w:val="false"/>
              </w:rPr>
              <w:t xml:space="preserve">Pi regulator</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r>
      <w:tr>
        <w:tc>
          <w:tcPr>
            <w:tcW w:type="dxa" w:w="2700"/>
          </w:tcPr>
          <w:p>
            <w:pPr>
              <w:spacing w:after="40" w:before="40"/>
            </w:pPr>
            <w:r>
              <w:rPr>
                <w:b w:val="false"/>
                <w:bCs w:val="false"/>
              </w:rPr>
              <w:t xml:space="preserve">TOTAL from pack</w:t>
            </w:r>
          </w:p>
        </w:tc>
        <w:tc>
          <w:tcPr>
            <w:tcW w:type="dxa" w:w="2700"/>
          </w:tcPr>
          <w:p>
            <w:pPr>
              <w:spacing w:after="40" w:before="40"/>
            </w:pPr>
            <w:r>
              <w:rPr>
                <w:b w:val="false"/>
                <w:bCs w:val="false"/>
              </w:rPr>
              <w:t xml:space="preserve">—</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r>
    </w:tbl>
    <w:p>
      <w:pPr>
        <w:spacing w:after="120" w:line="276"/>
      </w:pPr>
      <w:r>
        <w:t xml:space="preserve">Runtime check: 2600 mAh against the measured cruise total gives our laps-per-charge margin: </w:t>
      </w:r>
      <w:r>
        <w:rPr>
          <w:b/>
          <w:bCs/>
          <w:highlight w:val="yellow"/>
          <w:highlightCs w:val="yellow"/>
        </w:rPr>
        <w:t xml:space="preserve">[compute after measuring]</w:t>
      </w:r>
    </w:p>
    <w:p>
      <w:pPr>
        <w:pStyle w:val="Heading2"/>
        <w:spacing w:after="120" w:before="200"/>
      </w:pPr>
      <w:r>
        <w:t xml:space="preserve">3.3 Rangefinders</w:t>
      </w:r>
    </w:p>
    <w:p>
      <w:pPr>
        <w:spacing w:after="120" w:line="276"/>
      </w:pPr>
      <w:r>
        <w:t xml:space="preserve">Three TF-Luna laser rangefinders face left, centre and right. All three share one I2C address (0x10), so they sit behind a PCA9548A I2C multiplexer on channels 0, 1 and 2; the firmware selects a channel, reads two bytes, and moves on — four multiplexer transactions per control loop including the IMU. The side sensors are mounted to read the walls even when the vehicle runs close to them (the TF-Luna needs its minimum standoff respected, which shaped where on the chassis they sit).</w:t>
      </w:r>
    </w:p>
    <w:p>
      <w:pPr>
        <w:spacing w:after="120" w:line="276"/>
      </w:pPr>
      <w:r>
        <w:t xml:space="preserve">The left/right pair does double duty: their difference detects corners (a sudden large left–right asymmetry means the inside wall fell away), and the centre sensor provides the final stop condition after the last lap.</w:t>
      </w:r>
    </w:p>
    <w:p>
      <w:pPr>
        <w:pStyle w:val="Heading2"/>
        <w:spacing w:after="120" w:before="200"/>
      </w:pPr>
      <w:r>
        <w:t xml:space="preserve">3.4 IMU — and why we changed its mode</w:t>
      </w:r>
    </w:p>
    <w:p>
      <w:pPr>
        <w:spacing w:after="120" w:line="276"/>
      </w:pPr>
      <w:r>
        <w:t xml:space="preserve">Heading comes from a BNO055 on multiplexer channel 4. We originally ran it in its full NDOF fusion mode, which includes the magnetometer — and that was a mistake worth documenting: the magnetometer makes the reported heading absolute in the Earth frame, which is (a) arbitrary relative to the game mat, and (b) distortable by our own drive motor's magnets centimetres away. Our firmware used to snap turn targets to absolute 0/90/180/270°, which only works if the boot heading happens to align with the field.</w:t>
      </w:r>
    </w:p>
    <w:p>
      <w:pPr>
        <w:spacing w:after="120" w:line="276"/>
      </w:pPr>
      <w:r>
        <w:t xml:space="preserve">The fix was two-part: run the BNO055 in IMUPLUS mode (gyro + accelerometer only — boot heading reads ~0 in the vehicle's own frame, and motor magnets become irrelevant), and step every turn target ±90° from the previous target rather than from the current reading, so the four leg headings stay exactly 90° apart in any reference frame and drift cannot accumulate across twelve turns.</w:t>
      </w:r>
    </w:p>
    <w:p>
      <w:pPr>
        <w:pStyle w:val="Heading2"/>
        <w:spacing w:after="120" w:before="200"/>
      </w:pPr>
      <w:r>
        <w:t xml:space="preserve">3.5 Camera and the flicker calculation</w:t>
      </w:r>
    </w:p>
    <w:p>
      <w:pPr>
        <w:spacing w:after="120" w:line="276"/>
      </w:pPr>
      <w:r>
        <w:t xml:space="preserve">A Lenovo 300 FHD USB camera feeds the Pi at 640×480 (MJPEG). Colour classification lives or dies on exposure stability, so auto-exposure and auto-white-balance are disabled and locked before every run: white balance at 4500 K, exposure at 50 ms. The 50 ms number is not arbitrary — venue lighting flickers at twice the mains frequency, so a safe exposure must be an integer multiple of the half-period. 50 ms is exactly 5 × 10 ms (50 Hz mains) and exactly 6 × 8.33 ms (60 Hz mains): the same setting is flicker-proof on either grid. The accepted trade-off is frame rate — 50 ms exposure caps the camera near 20 fps regardless of the 30 fps request — and the software verifies after every startup that the driver really accepted the value instead of silently clamping it.</w:t>
      </w:r>
    </w:p>
    <w:p>
      <w:r>
        <w:br w:type="page"/>
      </w:r>
    </w:p>
    <w:p>
      <w:pPr>
        <w:pStyle w:val="Heading1"/>
        <w:spacing w:after="160" w:before="240"/>
      </w:pPr>
      <w:r>
        <w:t xml:space="preserve">4. Obstacle Management (Software)</w:t>
      </w:r>
    </w:p>
    <w:p>
      <w:pPr>
        <w:pStyle w:val="Heading2"/>
        <w:spacing w:after="120" w:before="200"/>
      </w:pPr>
      <w:r>
        <w:t xml:space="preserve">4.1 Two computers, one small language</w:t>
      </w:r>
    </w:p>
    <w:p>
      <w:pPr>
        <w:spacing w:after="120" w:line="276"/>
      </w:pPr>
      <w:r>
        <w:t xml:space="preserve">Perception and control are different kinds of problem, so they live on different processors. The Raspberry Pi 5 finds pillars and decides what they mean; the ESP32 drives. Between them runs a deliberately tiny text protocol over serial at 115200 baud — five message types, all human-readable, which made every field debugging session a matter of reading plain words in a terminal: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4100"/>
        <w:gridCol w:w="3200"/>
      </w:tblGrid>
      <w:tr>
        <w:tc>
          <w:tcPr>
            <w:tcW w:type="dxa" w:w="1726"/>
            <w:shd w:fill="E8E8E8" w:val="clear"/>
          </w:tcPr>
          <w:p>
            <w:pPr>
              <w:spacing w:after="40" w:before="40"/>
            </w:pPr>
            <w:r>
              <w:rPr>
                <w:b/>
                <w:bCs/>
              </w:rPr>
              <w:t xml:space="preserve">Message</w:t>
            </w:r>
          </w:p>
        </w:tc>
        <w:tc>
          <w:tcPr>
            <w:tcW w:type="dxa" w:w="1726"/>
            <w:shd w:fill="E8E8E8" w:val="clear"/>
          </w:tcPr>
          <w:p>
            <w:pPr>
              <w:spacing w:after="40" w:before="40"/>
            </w:pPr>
            <w:r>
              <w:rPr>
                <w:b/>
                <w:bCs/>
              </w:rPr>
              <w:t xml:space="preserve">Sent when</w:t>
            </w:r>
          </w:p>
        </w:tc>
        <w:tc>
          <w:tcPr>
            <w:tcW w:type="dxa" w:w="1726"/>
            <w:shd w:fill="E8E8E8" w:val="clear"/>
          </w:tcPr>
          <w:p>
            <w:pPr>
              <w:spacing w:after="40" w:before="40"/>
            </w:pPr>
            <w:r>
              <w:rPr>
                <w:b/>
                <w:bCs/>
              </w:rPr>
              <w:t xml:space="preserve">ESP32 response</w:t>
            </w:r>
          </w:p>
        </w:tc>
      </w:tr>
      <w:tr>
        <w:tc>
          <w:tcPr>
            <w:tcW w:type="dxa" w:w="1726"/>
          </w:tcPr>
          <w:p>
            <w:pPr>
              <w:spacing w:after="40" w:before="40"/>
            </w:pPr>
            <w:r>
              <w:rPr>
                <w:b w:val="false"/>
                <w:bCs w:val="false"/>
              </w:rPr>
              <w:t xml:space="preserve">RED / GREEN</w:t>
            </w:r>
          </w:p>
        </w:tc>
        <w:tc>
          <w:tcPr>
            <w:tcW w:type="dxa" w:w="1726"/>
          </w:tcPr>
          <w:p>
            <w:pPr>
              <w:spacing w:after="40" w:before="40"/>
            </w:pPr>
            <w:r>
              <w:rPr>
                <w:b w:val="false"/>
                <w:bCs w:val="false"/>
              </w:rPr>
              <w:t xml:space="preserve">a pillar is confirmed and not yet on its safe side (re-sent every 0.5 s as keepalive)</w:t>
            </w:r>
          </w:p>
        </w:tc>
        <w:tc>
          <w:tcPr>
            <w:tcW w:type="dxa" w:w="1726"/>
          </w:tcPr>
          <w:p>
            <w:pPr>
              <w:spacing w:after="40" w:before="40"/>
            </w:pPr>
            <w:r>
              <w:rPr>
                <w:b w:val="false"/>
                <w:bCs w:val="false"/>
              </w:rPr>
              <w:t xml:space="preserve">enter avoidance, steer right of red / left of green</w:t>
            </w:r>
          </w:p>
        </w:tc>
      </w:tr>
      <w:tr>
        <w:tc>
          <w:tcPr>
            <w:tcW w:type="dxa" w:w="1726"/>
          </w:tcPr>
          <w:p>
            <w:pPr>
              <w:spacing w:after="40" w:before="40"/>
            </w:pPr>
            <w:r>
              <w:rPr>
                <w:b w:val="false"/>
                <w:bCs w:val="false"/>
              </w:rPr>
              <w:t xml:space="preserve">POS,cx,h</w:t>
            </w:r>
          </w:p>
        </w:tc>
        <w:tc>
          <w:tcPr>
            <w:tcW w:type="dxa" w:w="1726"/>
          </w:tcPr>
          <w:p>
            <w:pPr>
              <w:spacing w:after="40" w:before="40"/>
            </w:pPr>
            <w:r>
              <w:rPr>
                <w:b w:val="false"/>
                <w:bCs w:val="false"/>
              </w:rPr>
              <w:t xml:space="preserve">every frame while tracking (Kalman-smoothed centre-x and height)</w:t>
            </w:r>
          </w:p>
        </w:tc>
        <w:tc>
          <w:tcPr>
            <w:tcW w:type="dxa" w:w="1726"/>
          </w:tcPr>
          <w:p>
            <w:pPr>
              <w:spacing w:after="40" w:before="40"/>
            </w:pPr>
            <w:r>
              <w:rPr>
                <w:b w:val="false"/>
                <w:bCs w:val="false"/>
              </w:rPr>
              <w:t xml:space="preserve">drives the proportional steering law; doubles as keepalive</w:t>
            </w:r>
          </w:p>
        </w:tc>
      </w:tr>
      <w:tr>
        <w:tc>
          <w:tcPr>
            <w:tcW w:type="dxa" w:w="1726"/>
          </w:tcPr>
          <w:p>
            <w:pPr>
              <w:spacing w:after="40" w:before="40"/>
            </w:pPr>
            <w:r>
              <w:rPr>
                <w:b w:val="false"/>
                <w:bCs w:val="false"/>
              </w:rPr>
              <w:t xml:space="preserve">CLEAR</w:t>
            </w:r>
          </w:p>
        </w:tc>
        <w:tc>
          <w:tcPr>
            <w:tcW w:type="dxa" w:w="1726"/>
          </w:tcPr>
          <w:p>
            <w:pPr>
              <w:spacing w:after="40" w:before="40"/>
            </w:pPr>
            <w:r>
              <w:rPr>
                <w:b w:val="false"/>
                <w:bCs w:val="false"/>
              </w:rPr>
              <w:t xml:space="preserve">no actionable pillar for 10 consecutive frames</w:t>
            </w:r>
          </w:p>
        </w:tc>
        <w:tc>
          <w:tcPr>
            <w:tcW w:type="dxa" w:w="1726"/>
          </w:tcPr>
          <w:p>
            <w:pPr>
              <w:spacing w:after="40" w:before="40"/>
            </w:pPr>
            <w:r>
              <w:rPr>
                <w:b w:val="false"/>
                <w:bCs w:val="false"/>
              </w:rPr>
              <w:t xml:space="preserve">resume heading-hold straight driving</w:t>
            </w:r>
          </w:p>
        </w:tc>
      </w:tr>
      <w:tr>
        <w:tc>
          <w:tcPr>
            <w:tcW w:type="dxa" w:w="1726"/>
          </w:tcPr>
          <w:p>
            <w:pPr>
              <w:spacing w:after="40" w:before="40"/>
            </w:pPr>
            <w:r>
              <w:rPr>
                <w:b w:val="false"/>
                <w:bCs w:val="false"/>
              </w:rPr>
              <w:t xml:space="preserve">REVERSE</w:t>
            </w:r>
          </w:p>
        </w:tc>
        <w:tc>
          <w:tcPr>
            <w:tcW w:type="dxa" w:w="1726"/>
          </w:tcPr>
          <w:p>
            <w:pPr>
              <w:spacing w:after="40" w:before="40"/>
            </w:pPr>
            <w:r>
              <w:rPr>
                <w:b w:val="false"/>
                <w:bCs w:val="false"/>
              </w:rPr>
              <w:t xml:space="preserve">pillar height &gt; 80 px (dangerously close), max 10 Hz</w:t>
            </w:r>
          </w:p>
        </w:tc>
        <w:tc>
          <w:tcPr>
            <w:tcW w:type="dxa" w:w="1726"/>
          </w:tcPr>
          <w:p>
            <w:pPr>
              <w:spacing w:after="40" w:before="40"/>
            </w:pPr>
            <w:r>
              <w:rPr>
                <w:b w:val="false"/>
                <w:bCs w:val="false"/>
              </w:rPr>
              <w:t xml:space="preserve">back up straight until the stream stops</w:t>
            </w:r>
          </w:p>
        </w:tc>
      </w:tr>
      <w:tr>
        <w:tc>
          <w:tcPr>
            <w:tcW w:type="dxa" w:w="1726"/>
          </w:tcPr>
          <w:p>
            <w:pPr>
              <w:spacing w:after="40" w:before="40"/>
            </w:pPr>
            <w:r>
              <w:rPr>
                <w:b w:val="false"/>
                <w:bCs w:val="false"/>
              </w:rPr>
              <w:t xml:space="preserve">(silence)</w:t>
            </w:r>
          </w:p>
        </w:tc>
        <w:tc>
          <w:tcPr>
            <w:tcW w:type="dxa" w:w="1726"/>
          </w:tcPr>
          <w:p>
            <w:pPr>
              <w:spacing w:after="40" w:before="40"/>
            </w:pPr>
            <w:r>
              <w:rPr>
                <w:b w:val="false"/>
                <w:bCs w:val="false"/>
              </w:rPr>
              <w:t xml:space="preserve">link or tracker failure</w:t>
            </w:r>
          </w:p>
        </w:tc>
        <w:tc>
          <w:tcPr>
            <w:tcW w:type="dxa" w:w="1726"/>
          </w:tcPr>
          <w:p>
            <w:pPr>
              <w:spacing w:after="40" w:before="40"/>
            </w:pPr>
            <w:r>
              <w:rPr>
                <w:b w:val="false"/>
                <w:bCs w:val="false"/>
              </w:rPr>
              <w:t xml:space="preserve">dead-man: auto-resume straight after 1.5 s</w:t>
            </w:r>
          </w:p>
        </w:tc>
      </w:tr>
    </w:tbl>
    <w:p>
      <w:pPr>
        <w:spacing w:after="120" w:line="276"/>
      </w:pPr>
      <w:r>
        <w:t xml:space="preserve">The protocol is state-gated on the ESP32 side: colour commands are honoured while driving straight or already avoiding (so a mid-avoid colour switch flips the swerve — a real failure we had), and ignored during turns (a corner must never be aborted halfway) and after the final stop (a stray detection must never restart a finished robot).</w:t>
      </w:r>
    </w:p>
    <w:p>
      <w:pPr>
        <w:pStyle w:val="Heading2"/>
        <w:spacing w:after="120" w:before="200"/>
      </w:pPr>
      <w:r>
        <w:t xml:space="preserve">4.2 Finding pillars: calibrated colour, not magic</w:t>
      </w:r>
    </w:p>
    <w:p>
      <w:pPr>
        <w:spacing w:after="120" w:line="276"/>
      </w:pPr>
      <w:r>
        <w:t xml:space="preserve">We classify pillars in Lab colour space with a hand-implemented sRGB→Lab conversion (linearisation, D65 white point). At the venue, we sample the actual red and green pillars under the actual lights; calibration stores each colour's centre as the median of the samples and its tolerance as a robust spread estimate (1.4826 × median absolute deviation), capped at 15. That cap is a designed property, not a limit: the magenta parking pillars sit ~99 Lab-units away from red in the (a,b) plane, so with tolerance ≤ 15 they are mathematically invisible to the red/green classes — no special case needed.</w:t>
      </w:r>
    </w:p>
    <w:p>
      <w:pPr>
        <w:spacing w:after="120" w:line="276"/>
      </w:pPr>
      <w:r>
        <w:t xml:space="preserve">Candidate blobs pass connected-component analysis with area, aspect-ratio and fill-extent gates, then a temporal filter: a colour must appear in 5 of the last 7 frames before we act on it. Height bands set the distance logic — below 45 px the pillar is too far to matter yet; above 80 px we are dangerously close and stream REVERSE; between them, side-safety gates decide: a red pillar already left of x = 90 in frame (or green already right of x = 150) needs no action, matching the required pass sides. A constant-velocity Kalman filter smooths the tracked centre and feeds the POS stream.</w:t>
      </w:r>
    </w:p>
    <w:p>
      <w:pPr>
        <w:pStyle w:val="Heading2"/>
        <w:spacing w:after="120" w:before="200"/>
      </w:pPr>
      <w:r>
        <w:t xml:space="preserve">4.3 The control state machine</w:t>
      </w:r>
    </w:p>
    <w:p>
      <w:pPr>
        <w:spacing w:after="120" w:line="276"/>
      </w:pPr>
      <w:r>
        <w:t xml:space="preserve">The ESP32 runs six states: WAIT_FOR_START (boot state — motor off, heading captured at the button press), DRIVING_STRAIGHT (PD heading hold: Kp 1.2, Kd 0.15, 1.5° deadband, correction clamped to ±20 servo units on a smoothed heading), TURNING (target stepped ±90° from the previous target; steering eases as the remaining angle shrinks; completion at &lt; 6° checked on the raw heading, because the smoothing filter's ~200 ms lag would otherwise overshoot every corner; 300 ms post-turn cooldown), OBSTACLE_AVOIDING (next section), REVERSING (straight back-up while the Pi streams REVERSE, returning to avoidance — not to straight — when it stops), and ROBOT_STOPPED (after 12 turns = 3 laps, when the centre rangefinder sees the wall inside 165 cm; terminal).</w:t>
      </w:r>
    </w:p>
    <w:p>
      <w:pPr>
        <w:spacing w:after="120" w:line="276"/>
      </w:pPr>
      <w:r>
        <w:t xml:space="preserve">Corner detection requires the left–right rangefinder difference to exceed 100 cm for 5 consecutive control loops in the same direction. The persistence requirement exists because a pillar occluding one side sensor can fake the asymmetry for a frame or two — walls and pillars are the same 10 cm height, so there is no aiming over the problem. After the first corner, the turn direction locks for the rest of the run, matching how the track works.</w:t>
      </w:r>
    </w:p>
    <w:p>
      <w:pPr>
        <w:pStyle w:val="Heading2"/>
        <w:spacing w:after="120" w:before="200"/>
      </w:pPr>
      <w:r>
        <w:t xml:space="preserve">4.4 Gradient steering: our current iteration</w:t>
      </w:r>
    </w:p>
    <w:p>
      <w:pPr>
        <w:spacing w:after="120" w:line="276"/>
      </w:pPr>
      <w:r>
        <w:t xml:space="preserve">Our field-tested first implementation of avoidance was binary: on RED, slam the steering to full lock right; on CLEAR, straighten. It worked, and it was crude — the car took the same maximum-effort swerve whether the pillar was barely inside the unsafe zone or dead ahead.</w:t>
      </w:r>
    </w:p>
    <w:p>
      <w:pPr>
        <w:spacing w:after="120" w:line="276"/>
      </w:pPr>
      <w:r>
        <w:t xml:space="preserve">The current controller steers proportionally to the evidence. The Pi streams the pillar's horizontal position; the ESP32 computes the error as the distance (in pixels) between that position and the pass-side safe line, and commands offset = KV × error, clamped between a small minimum (so progress is guaranteed while any error remains) and the full ±35 mechanical envelope. The old full-lock behaviour is exactly the saturation of the new law — large error still produces the proven maximum swerve — and it also remains the fallback whenever no position data has arrived yet. Steering now eases off smoothly as the pillar drifts toward its safe side, instead of oscillating between extremes.</w:t>
      </w:r>
    </w:p>
    <w:p>
      <w:pPr>
        <w:spacing w:after="120" w:line="276"/>
      </w:pPr>
      <w:r>
        <w:t xml:space="preserve">KV started at 0.28 degrees of steering per pixel of error, from geometry; the mat tunes it. </w:t>
      </w:r>
      <w:r>
        <w:rPr>
          <w:b/>
          <w:bCs/>
          <w:highlight w:val="yellow"/>
          <w:highlightCs w:val="yellow"/>
        </w:rPr>
        <w:t xml:space="preserve">[UPDATE after tuning runs: final KV value + one sentence on how it behaved]</w:t>
      </w:r>
    </w:p>
    <w:p>
      <w:pPr>
        <w:pStyle w:val="Heading2"/>
        <w:spacing w:after="120" w:before="200"/>
      </w:pPr>
      <w:r>
        <w:t xml:space="preserve">4.5 Open Challenge strategy</w:t>
      </w:r>
    </w:p>
    <w:p>
      <w:pPr>
        <w:spacing w:after="120" w:line="276"/>
      </w:pPr>
      <w:r>
        <w:t xml:space="preserve">The Open Challenge uses the same firmware with no Pi in the loop: heading-hold PD on the straights, rangefinder-difference corner detection, twelve turns, stop. Because the Pi's messages are simply absent, the identical binary handles both events — one codebase, one flash.</w:t>
      </w:r>
    </w:p>
    <w:p>
      <w:pPr>
        <w:pStyle w:val="Heading2"/>
        <w:spacing w:after="120" w:before="200"/>
      </w:pPr>
      <w:r>
        <w:t xml:space="preserve">4.6 Parking</w:t>
      </w:r>
    </w:p>
    <w:p>
      <w:pPr>
        <w:spacing w:after="120" w:line="276"/>
      </w:pPr>
      <w:r>
        <w:t xml:space="preserve">Decision D7 commits us to attempting the parallel park (the scoring table pays it even when imperfect). Two detection approaches are designed: a third calibrated colour class for the magenta lot pillars, or geometric lot detection from the side rangefinders. Status at time of writing: </w:t>
      </w:r>
      <w:r>
        <w:rPr>
          <w:b/>
          <w:bCs/>
          <w:highlight w:val="yellow"/>
          <w:highlightCs w:val="yellow"/>
        </w:rPr>
        <w:t xml:space="preserve">[UPDATE before print: implemented / planned — if implemented, describe the states and add the tuning note]</w:t>
      </w:r>
    </w:p>
    <w:p>
      <w:r>
        <w:br w:type="page"/>
      </w:r>
    </w:p>
    <w:p>
      <w:pPr>
        <w:pStyle w:val="Heading1"/>
        <w:spacing w:after="160" w:before="240"/>
      </w:pPr>
      <w:r>
        <w:t xml:space="preserve">5. Engineering Decisions and Iteration</w:t>
      </w:r>
    </w:p>
    <w:p>
      <w:pPr>
        <w:spacing w:after="120" w:line="276"/>
      </w:pPr>
      <w:r>
        <w:t xml:space="preserve">We keep a numbered decision log in the repository (docs/4_systems_and_decisions.md). The entries that shaped the vehicle most:</w:t>
      </w:r>
    </w:p>
    <w:p>
      <w:pPr>
        <w:pStyle w:val="ListParagraph"/>
        <w:numPr>
          <w:ilvl w:val="0"/>
          <w:numId w:val="2"/>
        </w:numPr>
        <w:spacing w:after="80" w:line="276"/>
      </w:pPr>
      <w:r>
        <w:rPr>
          <w:b/>
          <w:bCs/>
        </w:rPr>
        <w:t xml:space="preserve">Learned detector evaluated, classical picker chosen. </w:t>
      </w:r>
      <w:r>
        <w:t xml:space="preserve">We built and benchmarked a neural pillar detector, then replaced it with the calibrated-Lab classical picker that now flies: on Pi-class hardware the classical pipeline is faster, its failures are explainable frame by frame, and venue calibration adapts it to lighting in minutes. The neural branch remains in the repo history as the road not taken.</w:t>
      </w:r>
    </w:p>
    <w:p>
      <w:pPr>
        <w:pStyle w:val="ListParagraph"/>
        <w:numPr>
          <w:ilvl w:val="0"/>
          <w:numId w:val="2"/>
        </w:numPr>
        <w:spacing w:after="80" w:line="276"/>
      </w:pPr>
      <w:r>
        <w:rPr>
          <w:b/>
          <w:bCs/>
        </w:rPr>
        <w:t xml:space="preserve">Benchmark on the target machine. </w:t>
      </w:r>
      <w:r>
        <w:t xml:space="preserve">Two performance predictions made from desktop measurements died on contact with the actual hardware. The rule we wrote down: cross-architecture extrapolation is a hypothesis, not a number — measure where you deploy.</w:t>
      </w:r>
    </w:p>
    <w:p>
      <w:pPr>
        <w:pStyle w:val="ListParagraph"/>
        <w:numPr>
          <w:ilvl w:val="0"/>
          <w:numId w:val="2"/>
        </w:numPr>
        <w:spacing w:after="80" w:line="276"/>
      </w:pPr>
      <w:r>
        <w:rPr>
          <w:b/>
          <w:bCs/>
        </w:rPr>
        <w:t xml:space="preserve">Wheel-shed failure → printed chassis (D8). </w:t>
      </w:r>
      <w:r>
        <w:t xml:space="preserve">Chapter 2's five-second failure became a redesign with wheel retention as a designed-in feature.</w:t>
      </w:r>
    </w:p>
    <w:p>
      <w:pPr>
        <w:pStyle w:val="ListParagraph"/>
        <w:numPr>
          <w:ilvl w:val="0"/>
          <w:numId w:val="2"/>
        </w:numPr>
        <w:spacing w:after="80" w:line="276"/>
      </w:pPr>
      <w:r>
        <w:rPr>
          <w:b/>
          <w:bCs/>
        </w:rPr>
        <w:t xml:space="preserve">Park attempt (D7). </w:t>
      </w:r>
      <w:r>
        <w:t xml:space="preserve">Read the scoring table before deciding what to skip: a crooked parallel park still scores. We commit to the attempt.</w:t>
      </w:r>
    </w:p>
    <w:p>
      <w:pPr>
        <w:pStyle w:val="ListParagraph"/>
        <w:numPr>
          <w:ilvl w:val="0"/>
          <w:numId w:val="2"/>
        </w:numPr>
        <w:spacing w:after="80" w:line="276"/>
      </w:pPr>
      <w:r>
        <w:rPr>
          <w:b/>
          <w:bCs/>
        </w:rPr>
        <w:t xml:space="preserve">Rules as requirements (9.6–9.14, 11.10). </w:t>
      </w:r>
      <w:r>
        <w:t xml:space="preserve">The start-button mandate became a firmware state, not an afterthought; the radio ban turned our Bluetooth debug telemetry into a compile-time flag that is off in every competition build — the debugging convenience exists, and provably cannot exist in the flashed binary.</w:t>
      </w:r>
    </w:p>
    <w:p>
      <w:pPr>
        <w:pStyle w:val="ListParagraph"/>
        <w:numPr>
          <w:ilvl w:val="0"/>
          <w:numId w:val="2"/>
        </w:numPr>
        <w:spacing w:after="80" w:line="276"/>
      </w:pPr>
      <w:r>
        <w:rPr>
          <w:b/>
          <w:bCs/>
        </w:rPr>
        <w:t xml:space="preserve">Full-lock → gradient steering. </w:t>
      </w:r>
      <w:r>
        <w:t xml:space="preserve">Chapter 4.4: iterate on a working thing by making the proven behaviour the boundary case of the better one, so the field evidence is never thrown away.</w:t>
      </w:r>
    </w:p>
    <w:p>
      <w:pPr>
        <w:pStyle w:val="ListParagraph"/>
        <w:numPr>
          <w:ilvl w:val="0"/>
          <w:numId w:val="2"/>
        </w:numPr>
        <w:spacing w:after="80" w:line="276"/>
      </w:pPr>
      <w:r>
        <w:rPr>
          <w:b/>
          <w:bCs/>
        </w:rPr>
        <w:t xml:space="preserve">Estimates are labelled. </w:t>
      </w:r>
      <w:r>
        <w:t xml:space="preserve">Datasheet-class numbers say so; unmeasured numbers appear as open items, not guesses. This journal follows the same rule.</w:t>
      </w:r>
    </w:p>
    <w:p>
      <w:pPr>
        <w:pStyle w:val="Heading2"/>
        <w:spacing w:after="120" w:before="200"/>
      </w:pPr>
      <w:r>
        <w:t xml:space="preserve">5.1 What failed and what it taught us</w:t>
      </w:r>
    </w:p>
    <w:p>
      <w:pPr>
        <w:spacing w:after="120" w:line="276"/>
      </w:pPr>
      <w:r>
        <w:t xml:space="preserve">Beyond the wheel-shed: our early avoidance protocol could cancel itself — when a pillar got dangerously close, the emergency message was one the controller silently ignored, and the tracker's own too-close handling eventually announced CLEAR, straightening the car into the very pillar it was fleeing. Finding that chain required reading both programs as one system. The fix touched both sides (a real REVERSE handler; freezing the clear countdown while too close) and changed how we review: protocol changes are now traced end-to-end across both processors before they merge.</w:t>
      </w:r>
    </w:p>
    <w:p>
      <w:r>
        <w:br w:type="page"/>
      </w:r>
    </w:p>
    <w:p>
      <w:pPr>
        <w:pStyle w:val="Heading1"/>
        <w:spacing w:after="160" w:before="240"/>
      </w:pPr>
      <w:r>
        <w:t xml:space="preserve">6. Reproducibility: Building Our Vehicle from the Repository</w:t>
      </w:r>
    </w:p>
    <w:p>
      <w:pPr>
        <w:spacing w:after="120" w:line="276"/>
      </w:pPr>
      <w:r>
        <w:t xml:space="preserve">Everything lives at github.com/teddriveomo/wro-2026-future-engineers:</w:t>
      </w:r>
    </w:p>
    <w:p>
      <w:pPr>
        <w:pStyle w:val="ListParagraph"/>
        <w:numPr>
          <w:ilvl w:val="0"/>
          <w:numId w:val="2"/>
        </w:numPr>
        <w:spacing w:after="80" w:line="276"/>
      </w:pPr>
      <w:r>
        <w:t xml:space="preserve">src/Round 1/ — Open Challenge firmware lineage (round_1_5 is the canonical flashed version).</w:t>
      </w:r>
    </w:p>
    <w:p>
      <w:pPr>
        <w:pStyle w:val="ListParagraph"/>
        <w:numPr>
          <w:ilvl w:val="0"/>
          <w:numId w:val="2"/>
        </w:numPr>
        <w:spacing w:after="80" w:line="276"/>
      </w:pPr>
      <w:r>
        <w:t xml:space="preserve">src/Round 2/ — the Obstacle Challenge stack: main.cpp (ESP32 controller), round2.py (Pi vision runtime), plus the detector/ and vision/ experiment lineages.</w:t>
      </w:r>
    </w:p>
    <w:p>
      <w:pPr>
        <w:pStyle w:val="ListParagraph"/>
        <w:numPr>
          <w:ilvl w:val="0"/>
          <w:numId w:val="2"/>
        </w:numPr>
        <w:spacing w:after="80" w:line="276"/>
      </w:pPr>
      <w:r>
        <w:t xml:space="preserve">docs/ — the four criteria documents (mobility, power, software, systems &amp; decisions) this journal condenses.</w:t>
      </w:r>
    </w:p>
    <w:p>
      <w:pPr>
        <w:pStyle w:val="ListParagraph"/>
        <w:numPr>
          <w:ilvl w:val="0"/>
          <w:numId w:val="2"/>
        </w:numPr>
        <w:spacing w:after="80" w:line="276"/>
      </w:pPr>
      <w:r>
        <w:t xml:space="preserve">schemes/ — the wiring schematic. models/ — chassis print files </w:t>
      </w:r>
      <w:r>
        <w:rPr>
          <w:b/>
          <w:bCs/>
          <w:highlight w:val="yellow"/>
          <w:highlightCs w:val="yellow"/>
        </w:rPr>
        <w:t xml:space="preserve">[pending STL commit with the D8 rebuild]</w:t>
      </w:r>
      <w:r>
        <w:t xml:space="preserve">. t-photos/, v-photos/, video.md — team, vehicle, and run-video evidence.</w:t>
      </w:r>
    </w:p>
    <w:p>
      <w:pPr>
        <w:pStyle w:val="Heading2"/>
        <w:spacing w:after="120" w:before="200"/>
      </w:pPr>
      <w:r>
        <w:t xml:space="preserve">6.1 Flash and run</w:t>
      </w:r>
    </w:p>
    <w:p>
      <w:pPr>
        <w:pStyle w:val="ListParagraph"/>
        <w:numPr>
          <w:ilvl w:val="0"/>
          <w:numId w:val="2"/>
        </w:numPr>
        <w:spacing w:after="80" w:line="276"/>
      </w:pPr>
      <w:r>
        <w:t xml:space="preserve">ESP32: open src/Round 2/main.cpp in the Arduino environment (libraries: Adafruit BNO055, ESP32Servo), verify ENABLE_BLUETOOTH is 0 for competition, flash. The robot boots into WAIT_FOR_START.</w:t>
      </w:r>
    </w:p>
    <w:p>
      <w:pPr>
        <w:pStyle w:val="ListParagraph"/>
        <w:numPr>
          <w:ilvl w:val="0"/>
          <w:numId w:val="2"/>
        </w:numPr>
        <w:spacing w:after="80" w:line="276"/>
      </w:pPr>
      <w:r>
        <w:t xml:space="preserve">Pi: run python3 round2.py once with a display during check time — calibrate red and green on the venue pillars; the calibration saves to calib.json automatically.</w:t>
      </w:r>
    </w:p>
    <w:p>
      <w:pPr>
        <w:pStyle w:val="ListParagraph"/>
        <w:numPr>
          <w:ilvl w:val="0"/>
          <w:numId w:val="2"/>
        </w:numPr>
        <w:spacing w:after="80" w:line="276"/>
      </w:pPr>
      <w:r>
        <w:t xml:space="preserve">Race: python3 round2.py --headless (no display, no keyboard — it loads calib.json and refuses to start without one, which is the correct failure).</w:t>
      </w:r>
    </w:p>
    <w:p>
      <w:pPr>
        <w:pStyle w:val="ListParagraph"/>
        <w:numPr>
          <w:ilvl w:val="0"/>
          <w:numId w:val="2"/>
        </w:numPr>
        <w:spacing w:after="80" w:line="276"/>
      </w:pPr>
      <w:r>
        <w:t xml:space="preserve">On the mat: power switch on → robot waits → judge's signal → start button. Heading zeroes at that press.</w:t>
      </w:r>
    </w:p>
    <w:p>
      <w:pPr>
        <w:spacing w:after="120" w:line="276"/>
      </w:pPr>
      <w:r>
        <w:t xml:space="preserve">Releases are tagged (v0.2.0 current); commits are single-purpose with messages that say why, not just what.</w:t>
      </w:r>
    </w:p>
    <w:p>
      <w:pPr>
        <w:pStyle w:val="Heading1"/>
        <w:spacing w:after="160" w:before="240"/>
      </w:pPr>
      <w:r>
        <w:t xml:space="preserve">7. Testing and Performance</w:t>
      </w:r>
    </w:p>
    <w:p>
      <w:pPr>
        <w:spacing w:after="120" w:line="276"/>
      </w:pPr>
      <w:r>
        <w:t xml:space="preserve">Round-1 firmware: field-driven through its lap logic. Round-2 stack: the binary full-lock avoidance was field-run; the gradient controller and the hardened protocol are flashed and mat-tuning as of this journal's print date. </w:t>
      </w:r>
      <w:r>
        <w:rPr>
          <w:b/>
          <w:bCs/>
          <w:highlight w:val="yellow"/>
          <w:highlightCs w:val="yellow"/>
        </w:rPr>
        <w:t xml:space="preserve">[UPDATE before print: number of full 3-lap obstacle runs completed, best time, KV final value]</w:t>
      </w:r>
    </w:p>
    <w:p>
      <w:pPr>
        <w:spacing w:after="120" w:line="276"/>
      </w:pPr>
      <w:r>
        <w:t xml:space="preserve">Run videos (30+ seconds, one per challenge): links recorded in video.md — </w:t>
      </w:r>
      <w:r>
        <w:rPr>
          <w:b/>
          <w:bCs/>
          <w:highlight w:val="yellow"/>
          <w:highlightCs w:val="yellow"/>
        </w:rPr>
        <w:t xml:space="preserve">[FILL the two links here as well]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tcPr>
          <w:p>
            <w:pPr>
              <w:spacing w:after="100" w:before="200"/>
              <w:jc w:val="center"/>
            </w:pPr>
            <w:r>
              <w:rPr>
                <w:b/>
                <w:bCs/>
                <w:highlight w:val="yellow"/>
                <w:highlightCs w:val="yellow"/>
              </w:rPr>
              <w:t xml:space="preserve">[PHOTO: team photo — both members + coach if permitted]</w:t>
            </w:r>
          </w:p>
          <w:p>
            <w:r>
              <w:t xml:space="preserve"/>
            </w:r>
          </w:p>
          <w:p>
            <w:r>
              <w:t xml:space="preserve"/>
            </w:r>
          </w:p>
          <w:p>
            <w:r>
              <w:t xml:space="preserve"/>
            </w:r>
          </w:p>
          <w:p>
            <w:r>
              <w:t xml:space="preserve"/>
            </w:r>
          </w:p>
          <w:p>
            <w:r>
              <w:t xml:space="preserve"/>
            </w:r>
          </w:p>
        </w:tc>
      </w:tr>
    </w:tbl>
    <w:p>
      <w:r>
        <w:br w:type="page"/>
      </w:r>
    </w:p>
    <w:p>
      <w:pPr>
        <w:pStyle w:val="Heading1"/>
        <w:spacing w:after="160" w:before="240"/>
      </w:pPr>
      <w:r>
        <w:t xml:space="preserve">Appendix A — Bill of Materials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800"/>
        <w:gridCol w:w="3700"/>
      </w:tblGrid>
      <w:tr>
        <w:tc>
          <w:tcPr>
            <w:tcW w:type="dxa" w:w="4526"/>
            <w:shd w:fill="E8E8E8" w:val="clear"/>
          </w:tcPr>
          <w:p>
            <w:pPr>
              <w:spacing w:after="40" w:before="40"/>
            </w:pPr>
            <w:r>
              <w:rPr>
                <w:b/>
                <w:bCs/>
              </w:rPr>
              <w:t xml:space="preserve">Component</w:t>
            </w:r>
          </w:p>
        </w:tc>
        <w:tc>
          <w:tcPr>
            <w:tcW w:type="dxa" w:w="4526"/>
            <w:shd w:fill="E8E8E8" w:val="clear"/>
          </w:tcPr>
          <w:p>
            <w:pPr>
              <w:spacing w:after="40" w:before="40"/>
            </w:pPr>
            <w:r>
              <w:rPr>
                <w:b/>
                <w:bCs/>
              </w:rPr>
              <w:t xml:space="preserve">Qty</w:t>
            </w:r>
          </w:p>
        </w:tc>
        <w:tc>
          <w:tcPr>
            <w:tcW w:type="dxa" w:w="4526"/>
            <w:shd w:fill="E8E8E8" w:val="clear"/>
          </w:tcPr>
          <w:p>
            <w:pPr>
              <w:spacing w:after="40" w:before="40"/>
            </w:pPr>
            <w:r>
              <w:rPr>
                <w:b/>
                <w:bCs/>
              </w:rPr>
              <w:t xml:space="preserve">Role</w:t>
            </w:r>
          </w:p>
        </w:tc>
      </w:tr>
      <w:tr>
        <w:tc>
          <w:tcPr>
            <w:tcW w:type="dxa" w:w="4526"/>
          </w:tcPr>
          <w:p>
            <w:pPr>
              <w:spacing w:after="40" w:before="40"/>
            </w:pPr>
            <w:r>
              <w:rPr>
                <w:b w:val="false"/>
                <w:bCs w:val="false"/>
              </w:rPr>
              <w:t xml:space="preserve">ESP32 DevKit</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Control computer: driving, turning, avoidance</w:t>
            </w:r>
          </w:p>
        </w:tc>
      </w:tr>
      <w:tr>
        <w:tc>
          <w:tcPr>
            <w:tcW w:type="dxa" w:w="4526"/>
          </w:tcPr>
          <w:p>
            <w:pPr>
              <w:spacing w:after="40" w:before="40"/>
            </w:pPr>
            <w:r>
              <w:rPr>
                <w:b w:val="false"/>
                <w:bCs w:val="false"/>
              </w:rPr>
              <w:t xml:space="preserve">Raspberry Pi 5</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Perception computer: camera + colour picker</w:t>
            </w:r>
          </w:p>
        </w:tc>
      </w:tr>
      <w:tr>
        <w:tc>
          <w:tcPr>
            <w:tcW w:type="dxa" w:w="4526"/>
          </w:tcPr>
          <w:p>
            <w:pPr>
              <w:spacing w:after="40" w:before="40"/>
            </w:pPr>
            <w:r>
              <w:rPr>
                <w:b w:val="false"/>
                <w:bCs w:val="false"/>
              </w:rPr>
              <w:t xml:space="preserve">TF-Luna laser rangefinder</w:t>
            </w:r>
          </w:p>
        </w:tc>
        <w:tc>
          <w:tcPr>
            <w:tcW w:type="dxa" w:w="4526"/>
          </w:tcPr>
          <w:p>
            <w:pPr>
              <w:spacing w:after="40" w:before="40"/>
            </w:pPr>
            <w:r>
              <w:rPr>
                <w:b w:val="false"/>
                <w:bCs w:val="false"/>
              </w:rPr>
              <w:t xml:space="preserve">3</w:t>
            </w:r>
          </w:p>
        </w:tc>
        <w:tc>
          <w:tcPr>
            <w:tcW w:type="dxa" w:w="4526"/>
          </w:tcPr>
          <w:p>
            <w:pPr>
              <w:spacing w:after="40" w:before="40"/>
            </w:pPr>
            <w:r>
              <w:rPr>
                <w:b w:val="false"/>
                <w:bCs w:val="false"/>
              </w:rPr>
              <w:t xml:space="preserve">Left / centre / right wall sensing (I2C 0x10)</w:t>
            </w:r>
          </w:p>
        </w:tc>
      </w:tr>
      <w:tr>
        <w:tc>
          <w:tcPr>
            <w:tcW w:type="dxa" w:w="4526"/>
          </w:tcPr>
          <w:p>
            <w:pPr>
              <w:spacing w:after="40" w:before="40"/>
            </w:pPr>
            <w:r>
              <w:rPr>
                <w:b w:val="false"/>
                <w:bCs w:val="false"/>
              </w:rPr>
              <w:t xml:space="preserve">PCA9548A I2C multiplexer</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Channels 0–2 rangefinders, channel 4 IMU</w:t>
            </w:r>
          </w:p>
        </w:tc>
      </w:tr>
      <w:tr>
        <w:tc>
          <w:tcPr>
            <w:tcW w:type="dxa" w:w="4526"/>
          </w:tcPr>
          <w:p>
            <w:pPr>
              <w:spacing w:after="40" w:before="40"/>
            </w:pPr>
            <w:r>
              <w:rPr>
                <w:b w:val="false"/>
                <w:bCs w:val="false"/>
              </w:rPr>
              <w:t xml:space="preserve">BNO055 IMU</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Heading (IMUPLUS mode)</w:t>
            </w:r>
          </w:p>
        </w:tc>
      </w:tr>
      <w:tr>
        <w:tc>
          <w:tcPr>
            <w:tcW w:type="dxa" w:w="4526"/>
          </w:tcPr>
          <w:p>
            <w:pPr>
              <w:spacing w:after="40" w:before="40"/>
            </w:pPr>
            <w:r>
              <w:rPr>
                <w:b w:val="false"/>
                <w:bCs w:val="false"/>
              </w:rPr>
              <w:t xml:space="preserve">TB6612FNG motor driver</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Drive motor H-bridge</w:t>
            </w:r>
          </w:p>
        </w:tc>
      </w:tr>
      <w:tr>
        <w:tc>
          <w:tcPr>
            <w:tcW w:type="dxa" w:w="4526"/>
          </w:tcPr>
          <w:p>
            <w:pPr>
              <w:spacing w:after="40" w:before="40"/>
            </w:pPr>
            <w:r>
              <w:rPr>
                <w:b w:val="false"/>
                <w:bCs w:val="false"/>
              </w:rPr>
              <w:t xml:space="preserve">GA12-N20-600 geared motor (12 V, 1:50)</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Rear-axle drive via pinion + LEGO differential</w:t>
            </w:r>
          </w:p>
        </w:tc>
      </w:tr>
      <w:tr>
        <w:tc>
          <w:tcPr>
            <w:tcW w:type="dxa" w:w="4526"/>
          </w:tcPr>
          <w:p>
            <w:pPr>
              <w:spacing w:after="40" w:before="40"/>
            </w:pPr>
            <w:r>
              <w:rPr>
                <w:b w:val="false"/>
                <w:bCs w:val="false"/>
              </w:rPr>
              <w:t xml:space="preserve">MG90 micro-servo</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Front steering</w:t>
            </w:r>
          </w:p>
        </w:tc>
      </w:tr>
      <w:tr>
        <w:tc>
          <w:tcPr>
            <w:tcW w:type="dxa" w:w="4526"/>
          </w:tcPr>
          <w:p>
            <w:pPr>
              <w:spacing w:after="40" w:before="40"/>
            </w:pPr>
            <w:r>
              <w:rPr>
                <w:b w:val="false"/>
                <w:bCs w:val="false"/>
              </w:rPr>
              <w:t xml:space="preserve">Lenovo 300 FHD USB camera</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Pillar detection</w:t>
            </w:r>
          </w:p>
        </w:tc>
      </w:tr>
      <w:tr>
        <w:tc>
          <w:tcPr>
            <w:tcW w:type="dxa" w:w="4526"/>
          </w:tcPr>
          <w:p>
            <w:pPr>
              <w:spacing w:after="40" w:before="40"/>
            </w:pPr>
            <w:r>
              <w:rPr>
                <w:b w:val="false"/>
                <w:bCs w:val="false"/>
              </w:rPr>
              <w:t xml:space="preserve">3S Li-Po 11.1 V 2600 mAh (DC jack)</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Single power source</w:t>
            </w:r>
          </w:p>
        </w:tc>
      </w:tr>
      <w:tr>
        <w:tc>
          <w:tcPr>
            <w:tcW w:type="dxa" w:w="4526"/>
          </w:tcPr>
          <w:p>
            <w:pPr>
              <w:spacing w:after="40" w:before="40"/>
            </w:pPr>
            <w:r>
              <w:rPr>
                <w:b w:val="false"/>
                <w:bCs w:val="false"/>
              </w:rPr>
              <w:t xml:space="preserve">Buck converter</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5 V rail (ESP32 + servo)</w:t>
            </w:r>
          </w:p>
        </w:tc>
      </w:tr>
      <w:tr>
        <w:tc>
          <w:tcPr>
            <w:tcW w:type="dxa" w:w="4526"/>
          </w:tcPr>
          <w:p>
            <w:pPr>
              <w:spacing w:after="40" w:before="40"/>
            </w:pPr>
            <w:r>
              <w:rPr>
                <w:b w:val="false"/>
                <w:bCs w:val="false"/>
              </w:rPr>
              <w:t xml:space="preserve">Power switch + start button</w:t>
            </w:r>
          </w:p>
        </w:tc>
        <w:tc>
          <w:tcPr>
            <w:tcW w:type="dxa" w:w="4526"/>
          </w:tcPr>
          <w:p>
            <w:pPr>
              <w:spacing w:after="40" w:before="40"/>
            </w:pPr>
            <w:r>
              <w:rPr>
                <w:b w:val="false"/>
                <w:bCs w:val="false"/>
              </w:rPr>
              <w:t xml:space="preserve">1+1</w:t>
            </w:r>
          </w:p>
        </w:tc>
        <w:tc>
          <w:tcPr>
            <w:tcW w:type="dxa" w:w="4526"/>
          </w:tcPr>
          <w:p>
            <w:pPr>
              <w:spacing w:after="40" w:before="40"/>
            </w:pPr>
            <w:r>
              <w:rPr>
                <w:b w:val="false"/>
                <w:bCs w:val="false"/>
              </w:rPr>
              <w:t xml:space="preserve">Rules 9.6–9.14 compliance</w:t>
            </w:r>
          </w:p>
        </w:tc>
      </w:tr>
      <w:tr>
        <w:tc>
          <w:tcPr>
            <w:tcW w:type="dxa" w:w="4526"/>
          </w:tcPr>
          <w:p>
            <w:pPr>
              <w:spacing w:after="40" w:before="40"/>
            </w:pPr>
            <w:r>
              <w:rPr>
                <w:b w:val="false"/>
                <w:bCs w:val="false"/>
              </w:rPr>
              <w:t xml:space="preserve">Wheels 55.6×14 mm (rear), 41×21 mm (front)</w:t>
            </w:r>
          </w:p>
        </w:tc>
        <w:tc>
          <w:tcPr>
            <w:tcW w:type="dxa" w:w="4526"/>
          </w:tcPr>
          <w:p>
            <w:pPr>
              <w:spacing w:after="40" w:before="40"/>
            </w:pPr>
            <w:r>
              <w:rPr>
                <w:b w:val="false"/>
                <w:bCs w:val="false"/>
              </w:rPr>
              <w:t xml:space="preserve">2+2</w:t>
            </w:r>
          </w:p>
        </w:tc>
        <w:tc>
          <w:tcPr>
            <w:tcW w:type="dxa" w:w="4526"/>
          </w:tcPr>
          <w:p>
            <w:pPr>
              <w:spacing w:after="40" w:before="40"/>
            </w:pPr>
            <w:r>
              <w:rPr>
                <w:b w:val="false"/>
                <w:bCs w:val="false"/>
              </w:rPr>
              <w:t xml:space="preserve">Drive / steered</w:t>
            </w:r>
          </w:p>
        </w:tc>
      </w:tr>
      <w:tr>
        <w:tc>
          <w:tcPr>
            <w:tcW w:type="dxa" w:w="4526"/>
          </w:tcPr>
          <w:p>
            <w:pPr>
              <w:spacing w:after="40" w:before="40"/>
            </w:pPr>
            <w:r>
              <w:rPr>
                <w:b w:val="false"/>
                <w:bCs w:val="false"/>
              </w:rPr>
              <w:t xml:space="preserve">Chassis</w:t>
            </w:r>
          </w:p>
        </w:tc>
        <w:tc>
          <w:tcPr>
            <w:tcW w:type="dxa" w:w="4526"/>
          </w:tcPr>
          <w:p>
            <w:pPr>
              <w:spacing w:after="40" w:before="40"/>
            </w:pPr>
            <w:r>
              <w:rPr>
                <w:b w:val="false"/>
                <w:bCs w:val="false"/>
              </w:rPr>
              <w:t xml:space="preserve">1</w:t>
            </w:r>
          </w:p>
        </w:tc>
        <w:tc>
          <w:tcPr>
            <w:tcW w:type="dxa" w:w="4526"/>
          </w:tcPr>
          <w:p>
            <w:pPr>
              <w:spacing w:after="40" w:before="40"/>
            </w:pPr>
            <w:r>
              <w:rPr>
                <w:b/>
                <w:bCs/>
                <w:highlight w:val="yellow"/>
                <w:highlightCs w:val="yellow"/>
              </w:rPr>
              <w:t xml:space="preserve">[LEGO space-frame / 3D-printed per D8 status]</w:t>
            </w:r>
          </w:p>
        </w:tc>
      </w:tr>
    </w:tbl>
    <w:p>
      <w:pPr>
        <w:pStyle w:val="Heading1"/>
        <w:spacing w:after="160" w:before="240"/>
      </w:pPr>
      <w:r>
        <w:t xml:space="preserve">Appendix B — Fill Checklist Before Printing</w:t>
      </w:r>
    </w:p>
    <w:p>
      <w:pPr>
        <w:pStyle w:val="ListParagraph"/>
        <w:numPr>
          <w:ilvl w:val="0"/>
          <w:numId w:val="2"/>
        </w:numPr>
        <w:spacing w:after="80" w:line="276"/>
      </w:pPr>
      <w:r>
        <w:rPr>
          <w:b/>
          <w:bCs/>
          <w:highlight w:val="yellow"/>
          <w:highlightCs w:val="yellow"/>
        </w:rPr>
        <w:t xml:space="preserve">Team name</w:t>
      </w:r>
      <w:r>
        <w:t xml:space="preserve"> (cover) and </w:t>
      </w:r>
      <w:r>
        <w:rPr>
          <w:b/>
          <w:bCs/>
          <w:highlight w:val="yellow"/>
          <w:highlightCs w:val="yellow"/>
        </w:rPr>
        <w:t xml:space="preserve">Tejas's surname</w:t>
      </w:r>
      <w:r>
        <w:t xml:space="preserve"> — from the registration.</w:t>
      </w:r>
    </w:p>
    <w:p>
      <w:pPr>
        <w:pStyle w:val="ListParagraph"/>
        <w:numPr>
          <w:ilvl w:val="0"/>
          <w:numId w:val="2"/>
        </w:numPr>
        <w:spacing w:after="80" w:line="276"/>
      </w:pPr>
      <w:r>
        <w:t xml:space="preserve">All </w:t>
      </w:r>
      <w:r>
        <w:rPr>
          <w:b/>
          <w:bCs/>
          <w:highlight w:val="yellow"/>
          <w:highlightCs w:val="yellow"/>
        </w:rPr>
        <w:t xml:space="preserve">yellow</w:t>
      </w:r>
      <w:r>
        <w:t xml:space="preserve"> items: tooth counts (2.1), chassis status + photo (2.3), switch/button photo (3.1), the measured power table + runtime (3.2), KV tuning result (4.4), parking status (4.6), test-run numbers + video links (7), BoM chassis row.</w:t>
      </w:r>
    </w:p>
    <w:p>
      <w:pPr>
        <w:pStyle w:val="ListParagraph"/>
        <w:numPr>
          <w:ilvl w:val="0"/>
          <w:numId w:val="2"/>
        </w:numPr>
        <w:spacing w:after="80" w:line="276"/>
      </w:pPr>
      <w:r>
        <w:t xml:space="preserve">Photos into the three dashed boxes (chapters 1, 2, 7) — print only after every yellow mark is gone.</w:t>
      </w:r>
    </w:p>
    <w:p>
      <w:pPr>
        <w:pStyle w:val="ListParagraph"/>
        <w:numPr>
          <w:ilvl w:val="0"/>
          <w:numId w:val="2"/>
        </w:numPr>
        <w:spacing w:after="80" w:line="276"/>
      </w:pPr>
      <w:r>
        <w:t xml:space="preserve">12–16 pages including photos; this draft paginates inside that band once images are placed.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3864"/>
      <w:sz w:val="32"/>
      <w:szCs w:val="32"/>
    </w:rPr>
  </w:style>
  <w:style w:type="paragraph" w:styleId="Heading2">
    <w:name w:val="Heading 2"/>
    <w:basedOn w:val="Normal"/>
    <w:next w:val="Normal"/>
    <w:qFormat/>
    <w:rPr>
      <w:b/>
      <w:bCs/>
      <w:color w:val="2E539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2026-08-07T19:38:40.556Z</dcterms:created>
  <dcterms:modified xsi:type="dcterms:W3CDTF">2026-08-07T19:38:40.570Z</dcterms:modified>
</cp:coreProperties>
</file>

<file path=docProps/custom.xml><?xml version="1.0" encoding="utf-8"?>
<Properties xmlns="http://schemas.openxmlformats.org/officeDocument/2006/custom-properties" xmlns:vt="http://schemas.openxmlformats.org/officeDocument/2006/docPropsVTypes"/>
</file>